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6F9FD">
      <w:pPr>
        <w:widowControl/>
        <w:spacing w:before="100" w:beforeAutospacing="1" w:after="100" w:afterAutospacing="1"/>
        <w:jc w:val="left"/>
        <w:outlineLvl w:val="2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附件一：</w:t>
      </w:r>
    </w:p>
    <w:p w14:paraId="2E3C067D">
      <w:pPr>
        <w:widowControl/>
        <w:spacing w:before="100" w:beforeAutospacing="1" w:after="100" w:afterAutospacing="1"/>
        <w:jc w:val="center"/>
        <w:outlineLvl w:val="2"/>
        <w:rPr>
          <w:rFonts w:ascii="宋体" w:hAnsi="宋体" w:eastAsia="宋体" w:cs="宋体"/>
          <w:b/>
          <w:bCs/>
          <w:kern w:val="0"/>
          <w:sz w:val="27"/>
          <w:szCs w:val="27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</w:rPr>
        <w:t>重庆物流集团渝地绿能科技有限公司充电站安防系统设计规范</w:t>
      </w:r>
    </w:p>
    <w:p w14:paraId="7EDB698F">
      <w:pPr>
        <w:widowControl/>
        <w:spacing w:before="100" w:beforeAutospacing="1" w:after="100" w:afterAutospacing="1"/>
        <w:ind w:firstLine="1280" w:firstLineChars="400"/>
        <w:jc w:val="center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（室外场地·公交车/重卡车专用版）</w:t>
      </w:r>
    </w:p>
    <w:p w14:paraId="1993AD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一、总则</w:t>
      </w:r>
    </w:p>
    <w:p w14:paraId="434FBE4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适用范围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本规范适用于公司旗下所有室外充电站（含公交车/重卡车专用站）的安防系统设计，涵盖视频监控、道闸联动、人车识别及数据接入功能，确保与现有充电管理系统无缝协同。</w:t>
      </w:r>
    </w:p>
    <w:p w14:paraId="78B6BCA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设计原则</w:t>
      </w:r>
    </w:p>
    <w:p w14:paraId="45CCAFF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安全优先：防范车辆碰撞、盗窃及非法闯入风险，保障大型车辆充电安全。</w:t>
      </w:r>
    </w:p>
    <w:p w14:paraId="415B5F3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智能联动：实现安防系统与充电管理系统、道闸系统的实时数据交互与协同控制。</w:t>
      </w:r>
    </w:p>
    <w:p w14:paraId="50DD6CB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扩展兼容：预留接口支持未来技术升级（如AI算法迭代、5G通信）。</w:t>
      </w:r>
    </w:p>
    <w:p w14:paraId="74CBDBD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环境适应性：针对室外复杂环境（如极端天气、高粉尘）优化设备防护等级。</w:t>
      </w:r>
    </w:p>
    <w:p w14:paraId="298603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二、系统架构设计</w:t>
      </w:r>
    </w:p>
    <w:p w14:paraId="497CCA0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核心组件</w:t>
      </w:r>
    </w:p>
    <w:p w14:paraId="03FCF0E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前端采集单元：</w:t>
      </w:r>
    </w:p>
    <w:p w14:paraId="493815B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部署高清网络摄像机（含红外夜视功能），覆盖充电车位、出入口及周界。</w:t>
      </w:r>
    </w:p>
    <w:p w14:paraId="47D99A6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公交车/重卡车专用车位采用广角摄像机（≥160°视野），确保无死角监控。</w:t>
      </w:r>
    </w:p>
    <w:p w14:paraId="559CBC4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智能分析单元：</w:t>
      </w:r>
    </w:p>
    <w:p w14:paraId="48DE7DD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集成人车识别算法，支持车辆识别，识别率≥99%；支持人体行为核验，识别率≥50%。</w:t>
      </w:r>
    </w:p>
    <w:p w14:paraId="4A33361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可拓展升级至支持车型分类（公交车/重卡车），为运营管理提供数据支持（注：可拓展功能当前设计不作要求，下同）。</w:t>
      </w:r>
    </w:p>
    <w:p w14:paraId="27DAAEF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控制中心：</w:t>
      </w:r>
    </w:p>
    <w:p w14:paraId="141A1BC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集中管理视频流、报警数据及设备状态，支持远程监控与操作。</w:t>
      </w:r>
    </w:p>
    <w:p w14:paraId="308D069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采用本地存储架构，确保数据安全与快速检索。对预警信息可通过云端加密上传。</w:t>
      </w:r>
    </w:p>
    <w:p w14:paraId="16DA89D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  <w:lang w:val="en-US" w:eastAsia="zh-CN"/>
        </w:rPr>
        <w:t>2..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数据流设计</w:t>
      </w:r>
    </w:p>
    <w:p w14:paraId="3B4AF1F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视频数据本地监控终端存储，可拓展升级经加密传输至云端存储。</w:t>
      </w:r>
    </w:p>
    <w:p w14:paraId="0025A79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安防告警信息（如非法闯入）实时触发道闸闭锁及充电系统暂停，响应时间≤3秒。</w:t>
      </w:r>
    </w:p>
    <w:p w14:paraId="656C9C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三、功能规范</w:t>
      </w:r>
    </w:p>
    <w:p w14:paraId="1AB1067D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视频监控系统</w:t>
      </w:r>
    </w:p>
    <w:p w14:paraId="07CFFD0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覆盖范围：</w:t>
      </w:r>
    </w:p>
    <w:p w14:paraId="6C5B0C5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充电车位：不低于三个车位部署1台广角摄像机，无死角监控车辆及人员。</w:t>
      </w:r>
    </w:p>
    <w:p w14:paraId="226A6E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出入口：双向抓拍，支持车辆识别，可拓展升级至车速监测，识别距离≥50米。</w:t>
      </w:r>
    </w:p>
    <w:p w14:paraId="76C0511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周界：可拓展升级采用红外对射或电子围栏，防范非法闯入。</w:t>
      </w:r>
    </w:p>
    <w:p w14:paraId="252CCB2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性能要求：</w:t>
      </w:r>
    </w:p>
    <w:p w14:paraId="1849966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分辨率≥1080P，低照度环境下图像清晰（照度≤0.1Lux时仍可识别）。</w:t>
      </w:r>
    </w:p>
    <w:p w14:paraId="5757DF9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存储周期≥30天，支持按时间、事件快速检索。</w:t>
      </w:r>
    </w:p>
    <w:p w14:paraId="5949BE3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设备防护等级≥IP65，适应室外恶劣环境。</w:t>
      </w:r>
    </w:p>
    <w:p w14:paraId="78BFB1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支持现场录音。</w:t>
      </w:r>
    </w:p>
    <w:p w14:paraId="2C9E5C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联动机制（道闸系统优先，可选功能设计）</w:t>
      </w:r>
    </w:p>
    <w:p w14:paraId="5B27CF3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准入控制：</w:t>
      </w:r>
    </w:p>
    <w:p w14:paraId="37703D6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车牌验证通过后，自动开启道闸并记录通行日志（含车牌、时间、车型）。</w:t>
      </w:r>
    </w:p>
    <w:p w14:paraId="3344E38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未授权车辆触发声光报警，道闸保持闭锁状态，同时推送告警至控制中心。</w:t>
      </w:r>
    </w:p>
    <w:p w14:paraId="4E06C90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应急处理：</w:t>
      </w:r>
    </w:p>
    <w:p w14:paraId="3CED28F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消防通道联动：可拓展升级至火灾报警时强制释放道闸，确保紧急疏散。</w:t>
      </w:r>
    </w:p>
    <w:p w14:paraId="56DE17A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断电保护：可拓展升级至UPS电源，确保断电时道闸仍可手动操作。</w:t>
      </w:r>
    </w:p>
    <w:p w14:paraId="2EF3B5A0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人车识别能力</w:t>
      </w:r>
    </w:p>
    <w:p w14:paraId="4F8778F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识别对象：</w:t>
      </w:r>
    </w:p>
    <w:p w14:paraId="78E4281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车辆：车辆识别。</w:t>
      </w:r>
    </w:p>
    <w:p w14:paraId="53FD43C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人员：人体行为识别。</w:t>
      </w:r>
    </w:p>
    <w:p w14:paraId="10BE6EB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技术指标：</w:t>
      </w:r>
    </w:p>
    <w:p w14:paraId="32EF90C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车辆识别率≥99%，支持复杂天气条件（如雨雾、强光）。</w:t>
      </w:r>
    </w:p>
    <w:p w14:paraId="67F3E93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人体行为识别，识别率≥50%。</w:t>
      </w:r>
    </w:p>
    <w:p w14:paraId="7EE29DA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识别延迟≤1秒，确保实时响应。</w:t>
      </w:r>
    </w:p>
    <w:p w14:paraId="4112E220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数据接入设计</w:t>
      </w:r>
    </w:p>
    <w:p w14:paraId="59232ED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接口协议：</w:t>
      </w:r>
    </w:p>
    <w:p w14:paraId="7E2AAC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安防系统与充电管理系统采用标准API对接，共享车辆进出、充电状态、故障告警等数据。</w:t>
      </w:r>
    </w:p>
    <w:p w14:paraId="24C60F7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道闸控制系统支持RS485或TCP/IP通信，确保数据传输稳定。</w:t>
      </w:r>
    </w:p>
    <w:p w14:paraId="59D3563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数据安全：</w:t>
      </w:r>
    </w:p>
    <w:p w14:paraId="2B78E84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传输通道加密，符合《网络安全法》要求。</w:t>
      </w:r>
    </w:p>
    <w:p w14:paraId="4E88F2F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可拓展升级至云端定期备份数据，防止数据丢失。</w:t>
      </w:r>
    </w:p>
    <w:p w14:paraId="123604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四、施工与验收要求</w:t>
      </w:r>
    </w:p>
    <w:p w14:paraId="7F56C0C9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安装规范</w:t>
      </w:r>
    </w:p>
    <w:p w14:paraId="208C522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摄像机安装高度：重卡车位≥4.5米，公交车位≥3.5米，确保视野覆盖。</w:t>
      </w:r>
    </w:p>
    <w:p w14:paraId="09BF170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防雷接地：室外设备需配备浪涌保护装置，接地电阻≤4Ω。</w:t>
      </w:r>
    </w:p>
    <w:p w14:paraId="78BCF4E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布线规范：强弱电分离，避免干扰；线缆采用阻燃材料，符合消防要求。</w:t>
      </w:r>
    </w:p>
    <w:p w14:paraId="09C63F7E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验收标准</w:t>
      </w:r>
    </w:p>
    <w:p w14:paraId="2469ED5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功能测试：</w:t>
      </w:r>
    </w:p>
    <w:p w14:paraId="6691B24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模拟非法闯入场景，验证报警响应时间≤3秒，道闸联动成功率100%。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（道闸系统优先，无道闸系统时，需实现此功能，该功能为可拓展升级功能）</w:t>
      </w:r>
    </w:p>
    <w:p w14:paraId="057CC9A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人车识别测试：覆盖不同时段、天气条件，确保识别率达标。</w:t>
      </w:r>
    </w:p>
    <w:p w14:paraId="629E996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文档交付：</w:t>
      </w:r>
    </w:p>
    <w:p w14:paraId="42EA86F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提供系统拓扑图、接口协议、操作手册及维护指南。</w:t>
      </w:r>
    </w:p>
    <w:p w14:paraId="16EACA9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提交第三方检测报告（如EMC测试、防雷检测）。</w:t>
      </w:r>
    </w:p>
    <w:p w14:paraId="010F68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五、运营维护</w:t>
      </w:r>
    </w:p>
    <w:p w14:paraId="719739A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日常管理</w:t>
      </w:r>
    </w:p>
    <w:p w14:paraId="0D81F35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定期清洁摄像机镜头，确保图像质量；每月测试备用电源续航能力（已配置UPS时）。</w:t>
      </w:r>
    </w:p>
    <w:p w14:paraId="6CCDBD1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建立巡检制度，检查设备运行状态（如道闸灵敏度、识别准确率）。</w:t>
      </w:r>
    </w:p>
    <w:p w14:paraId="07485A5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升级机制</w:t>
      </w:r>
    </w:p>
    <w:p w14:paraId="63A19B8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预留AI算法升级接口，支持未来增加行为分析功能（如驾驶员疲劳检测）。</w:t>
      </w:r>
    </w:p>
    <w:p w14:paraId="6861561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期评估系统性能，根据实际需求优化配置。</w:t>
      </w:r>
    </w:p>
    <w:p w14:paraId="7684E1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六、附录</w:t>
      </w:r>
    </w:p>
    <w:p w14:paraId="13A6C11A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术语定义</w:t>
      </w:r>
    </w:p>
    <w:p w14:paraId="45F2B4B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人车识别通过摄像头或传感器采集车辆和人员信息，经算法分析后输出识别结果。</w:t>
      </w:r>
    </w:p>
    <w:p w14:paraId="23FD0A5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道闸联动：安防系统与道闸控制系统协同工作，实现自动开闭与告警。</w:t>
      </w:r>
    </w:p>
    <w:p w14:paraId="13E1CACD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引用标准</w:t>
      </w:r>
    </w:p>
    <w:p w14:paraId="2E08661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《智能建筑综合安防系统设计与实现》（GB/T 50314-2015）</w:t>
      </w:r>
    </w:p>
    <w:p w14:paraId="3425551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《视频监控系统生物特征识别技术规范》（GB/T 37073-2018）</w:t>
      </w:r>
    </w:p>
    <w:p w14:paraId="732215E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0" w:leftChars="20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《电动汽车充电站防雷技术规范》（GB/T 51313-2018）</w:t>
      </w:r>
    </w:p>
    <w:p w14:paraId="35E766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FF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</w:rPr>
        <w:t>附则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color w:val="FF0000"/>
          <w:kern w:val="0"/>
          <w:sz w:val="32"/>
          <w:szCs w:val="32"/>
        </w:rPr>
        <w:t>本规范</w:t>
      </w:r>
      <w:r>
        <w:rPr>
          <w:rFonts w:hint="eastAsia" w:ascii="方正仿宋_GBK" w:hAnsi="方正仿宋_GBK" w:eastAsia="方正仿宋_GBK" w:cs="方正仿宋_GBK"/>
          <w:color w:val="FF0000"/>
          <w:kern w:val="0"/>
          <w:sz w:val="32"/>
          <w:szCs w:val="32"/>
          <w:lang w:val="en-US" w:eastAsia="zh-CN"/>
        </w:rPr>
        <w:t>仅供参考，实际按照我司提供的清单为准</w:t>
      </w:r>
      <w:r>
        <w:rPr>
          <w:rFonts w:hint="eastAsia" w:ascii="方正仿宋_GBK" w:hAnsi="方正仿宋_GBK" w:eastAsia="方正仿宋_GBK" w:cs="方正仿宋_GBK"/>
          <w:color w:val="FF0000"/>
          <w:kern w:val="0"/>
          <w:sz w:val="32"/>
          <w:szCs w:val="32"/>
        </w:rPr>
        <w:t>。</w:t>
      </w:r>
    </w:p>
    <w:p w14:paraId="3992EBEB">
      <w:pPr>
        <w:rPr>
          <w:rFonts w:hint="default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 w14:paraId="24456F1E">
      <w:pPr>
        <w:jc w:val="both"/>
        <w:rPr>
          <w:rFonts w:hint="default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</w:p>
    <w:p w14:paraId="332BFD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3972B0F-BEB2-4741-A49E-C7ADCA99C56C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D016EE2-EDC7-4FB7-A487-7917B08976D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0877DC8-F95C-44F5-8C23-8AC7FF9514DD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4" w:fontKey="{49A91EEB-189D-41A9-84C9-66E5FE51841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6C442"/>
    <w:multiLevelType w:val="multilevel"/>
    <w:tmpl w:val="C6F6C442"/>
    <w:lvl w:ilvl="0" w:tentative="0">
      <w:start w:val="1"/>
      <w:numFmt w:val="decimal"/>
      <w:suff w:val="nothing"/>
      <w:lvlText w:val="%1."/>
      <w:lvlJc w:val="left"/>
      <w:pPr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3401E275"/>
    <w:multiLevelType w:val="multilevel"/>
    <w:tmpl w:val="3401E275"/>
    <w:lvl w:ilvl="0" w:tentative="0">
      <w:start w:val="1"/>
      <w:numFmt w:val="decimal"/>
      <w:suff w:val="nothing"/>
      <w:lvlText w:val="%1."/>
      <w:lvlJc w:val="left"/>
      <w:pPr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276CD55"/>
    <w:multiLevelType w:val="multilevel"/>
    <w:tmpl w:val="5276CD55"/>
    <w:lvl w:ilvl="0" w:tentative="0">
      <w:start w:val="1"/>
      <w:numFmt w:val="decimal"/>
      <w:suff w:val="nothing"/>
      <w:lvlText w:val="%1."/>
      <w:lvlJc w:val="left"/>
      <w:pPr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26D6E"/>
    <w:rsid w:val="07A8599E"/>
    <w:rsid w:val="17D54104"/>
    <w:rsid w:val="221668B6"/>
    <w:rsid w:val="59EB6FD1"/>
    <w:rsid w:val="5FA657DA"/>
    <w:rsid w:val="65C2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1745</Words>
  <Characters>1840</Characters>
  <Lines>0</Lines>
  <Paragraphs>0</Paragraphs>
  <TotalTime>0</TotalTime>
  <ScaleCrop>false</ScaleCrop>
  <LinksUpToDate>false</LinksUpToDate>
  <CharactersWithSpaces>1843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2026-01-26T03:26:00Z</dcterms:created>
  <dc:creator>YOUTH</dc:creator>
  <cp:lastModifiedBy>YOUTH</cp:lastModifiedBy>
  <dcterms:modified xsi:type="dcterms:W3CDTF">2026-01-26T06:18:32Z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BE8D04B1FE814C30B7AE456C84F03DAD_11</vt:lpwstr>
  </property>
  <property fmtid="{D5CDD505-2E9C-101B-9397-08002B2CF9AE}" pid="4" name="KSOTemplateDocerSaveRecord">
    <vt:lpwstr>eyJoZGlkIjoiODViY2JkMjU3NGYzZTEwMzZmMGFkZWViYmNkYWU3NDIiLCJ1c2VySWQiOiIxMTQ3OTAxMzc4In0=</vt:lpwstr>
  </property>
</Properties>
</file>