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7F66C">
      <w:pPr>
        <w:pStyle w:val="32"/>
        <w:bidi w:val="0"/>
      </w:pPr>
      <w:r>
        <w:t>华为智选车TOB销售业务外包服务商报名表</w:t>
      </w:r>
    </w:p>
    <w:p w14:paraId="478A4CDF">
      <w:pPr>
        <w:pStyle w:val="32"/>
        <w:bidi w:val="0"/>
      </w:pPr>
      <w:r>
        <w:t>‌</w:t>
      </w:r>
    </w:p>
    <w:p w14:paraId="7615101B">
      <w:pPr>
        <w:bidi w:val="0"/>
        <w:ind w:left="0" w:leftChars="0" w:firstLine="0" w:firstLineChars="0"/>
      </w:pPr>
      <w:r>
        <w:t>项目名称‌：2026年度华为智选车TOB销售业务外包服务</w:t>
      </w:r>
      <w:r>
        <w:br w:type="textWrapping"/>
      </w:r>
      <w:r>
        <w:t>‌发包方‌：</w:t>
      </w:r>
      <w:r>
        <w:rPr>
          <w:rFonts w:hint="eastAsia"/>
        </w:rPr>
        <w:t>重庆市物流集团渝地绿能科技有限公司</w:t>
      </w:r>
      <w:r>
        <w:br w:type="textWrapping"/>
      </w:r>
    </w:p>
    <w:p w14:paraId="59E595F3">
      <w:pPr>
        <w:pStyle w:val="2"/>
        <w:bidi w:val="0"/>
      </w:pPr>
      <w:r>
        <w:t>一、服务商基本信息</w:t>
      </w:r>
    </w:p>
    <w:p w14:paraId="07E40C8D">
      <w:pPr>
        <w:numPr>
          <w:ilvl w:val="0"/>
          <w:numId w:val="2"/>
        </w:numPr>
        <w:bidi w:val="0"/>
        <w:ind w:left="0" w:leftChars="0" w:firstLine="620" w:firstLineChars="0"/>
      </w:pPr>
      <w:r>
        <w:t>公司名称：</w:t>
      </w:r>
    </w:p>
    <w:p w14:paraId="04A70458">
      <w:pPr>
        <w:numPr>
          <w:ilvl w:val="0"/>
          <w:numId w:val="2"/>
        </w:numPr>
        <w:bidi w:val="0"/>
        <w:ind w:left="0" w:leftChars="0" w:firstLine="620" w:firstLineChars="0"/>
      </w:pPr>
      <w:r>
        <w:t>统一社会信用代码：</w:t>
      </w:r>
    </w:p>
    <w:p w14:paraId="51712F36">
      <w:pPr>
        <w:numPr>
          <w:ilvl w:val="0"/>
          <w:numId w:val="2"/>
        </w:numPr>
        <w:bidi w:val="0"/>
        <w:ind w:left="0" w:leftChars="0" w:firstLine="620" w:firstLineChars="0"/>
      </w:pPr>
      <w:r>
        <w:t>法定代表人：</w:t>
      </w:r>
    </w:p>
    <w:p w14:paraId="49BCB35D">
      <w:pPr>
        <w:numPr>
          <w:ilvl w:val="0"/>
          <w:numId w:val="2"/>
        </w:numPr>
        <w:bidi w:val="0"/>
        <w:ind w:left="0" w:leftChars="0" w:firstLine="620" w:firstLineChars="0"/>
      </w:pPr>
      <w:r>
        <w:t>联系人及职务：</w:t>
      </w:r>
    </w:p>
    <w:p w14:paraId="2304C572">
      <w:pPr>
        <w:numPr>
          <w:ilvl w:val="0"/>
          <w:numId w:val="2"/>
        </w:numPr>
        <w:bidi w:val="0"/>
        <w:ind w:left="0" w:leftChars="0" w:firstLine="620" w:firstLineChars="0"/>
      </w:pPr>
      <w:r>
        <w:t>联系电话：</w:t>
      </w:r>
    </w:p>
    <w:p w14:paraId="6513A227">
      <w:pPr>
        <w:numPr>
          <w:ilvl w:val="0"/>
          <w:numId w:val="2"/>
        </w:numPr>
        <w:bidi w:val="0"/>
        <w:ind w:left="0" w:leftChars="0" w:firstLine="620" w:firstLineChars="0"/>
      </w:pPr>
      <w:r>
        <w:t>电子邮箱：</w:t>
      </w:r>
    </w:p>
    <w:p w14:paraId="22B30B7C">
      <w:pPr>
        <w:numPr>
          <w:ilvl w:val="0"/>
          <w:numId w:val="2"/>
        </w:numPr>
        <w:bidi w:val="0"/>
        <w:ind w:left="0" w:leftChars="0" w:firstLine="620" w:firstLineChars="0"/>
      </w:pPr>
      <w:r>
        <w:t>公司地址：</w:t>
      </w:r>
    </w:p>
    <w:p w14:paraId="2FBC05C6">
      <w:pPr>
        <w:bidi w:val="0"/>
      </w:pPr>
    </w:p>
    <w:p w14:paraId="1A55F979">
      <w:pPr>
        <w:pStyle w:val="2"/>
        <w:bidi w:val="0"/>
      </w:pPr>
      <w:r>
        <w:t>二、资质证明文件（需加盖公章）</w:t>
      </w:r>
    </w:p>
    <w:p w14:paraId="4BDA9AFA">
      <w:pPr>
        <w:numPr>
          <w:ilvl w:val="0"/>
          <w:numId w:val="3"/>
        </w:numPr>
        <w:bidi w:val="0"/>
        <w:ind w:left="425" w:leftChars="0" w:firstLine="195" w:firstLineChars="0"/>
      </w:pPr>
      <w:r>
        <w:t>营业执照副本复印件</w:t>
      </w:r>
    </w:p>
    <w:p w14:paraId="3A09726E">
      <w:pPr>
        <w:numPr>
          <w:ilvl w:val="0"/>
          <w:numId w:val="3"/>
        </w:numPr>
        <w:bidi w:val="0"/>
        <w:ind w:left="425" w:leftChars="0" w:firstLine="195" w:firstLineChars="0"/>
      </w:pPr>
      <w:r>
        <w:t>2024年度财务报表或净资产证明</w:t>
      </w:r>
      <w:r>
        <w:rPr>
          <w:rFonts w:hint="eastAsia"/>
        </w:rPr>
        <w:t>或资金证明</w:t>
      </w:r>
      <w:r>
        <w:t>（≥25万元）</w:t>
      </w:r>
    </w:p>
    <w:p w14:paraId="1CA5A059">
      <w:pPr>
        <w:numPr>
          <w:ilvl w:val="0"/>
          <w:numId w:val="3"/>
        </w:numPr>
        <w:bidi w:val="0"/>
        <w:ind w:left="425" w:leftChars="0" w:firstLine="195" w:firstLineChars="0"/>
      </w:pPr>
      <w:r>
        <w:rPr>
          <w:rFonts w:hint="eastAsia"/>
        </w:rPr>
        <w:t>汽车</w:t>
      </w:r>
      <w:r>
        <w:t>销售案例证明（至少1个</w:t>
      </w:r>
      <w:r>
        <w:rPr>
          <w:rFonts w:hint="eastAsia"/>
        </w:rPr>
        <w:t>，主机厂授权书、销售发票等</w:t>
      </w:r>
      <w:r>
        <w:t>）</w:t>
      </w:r>
    </w:p>
    <w:p w14:paraId="7925E16B">
      <w:pPr>
        <w:numPr>
          <w:ilvl w:val="0"/>
          <w:numId w:val="3"/>
        </w:numPr>
        <w:bidi w:val="0"/>
        <w:ind w:left="425" w:leftChars="0" w:firstLine="195" w:firstLineChars="0"/>
      </w:pPr>
      <w:r>
        <w:t>专职销售团队说明（人数及分工）</w:t>
      </w:r>
    </w:p>
    <w:p w14:paraId="7A6B135C">
      <w:pPr>
        <w:bidi w:val="0"/>
      </w:pPr>
    </w:p>
    <w:p w14:paraId="021EE72B">
      <w:pPr>
        <w:pStyle w:val="2"/>
        <w:bidi w:val="0"/>
      </w:pPr>
      <w:r>
        <w:t>三、合作方案承诺</w:t>
      </w:r>
    </w:p>
    <w:p w14:paraId="17373D42">
      <w:pPr>
        <w:numPr>
          <w:ilvl w:val="0"/>
          <w:numId w:val="4"/>
        </w:numPr>
        <w:bidi w:val="0"/>
        <w:ind w:left="425" w:leftChars="0" w:firstLine="195" w:firstLineChars="0"/>
      </w:pPr>
      <w:r>
        <w:t>年度最低销售量承诺：______辆（≥20辆）</w:t>
      </w:r>
    </w:p>
    <w:p w14:paraId="6F518DAB">
      <w:pPr>
        <w:numPr>
          <w:ilvl w:val="0"/>
          <w:numId w:val="4"/>
        </w:numPr>
        <w:bidi w:val="0"/>
        <w:ind w:left="425" w:leftChars="0" w:firstLine="195" w:firstLineChars="0"/>
      </w:pPr>
      <w:r>
        <w:t>年度最低留存利润承诺：______万元（≥20万元）</w:t>
      </w:r>
    </w:p>
    <w:p w14:paraId="77135970">
      <w:pPr>
        <w:numPr>
          <w:ilvl w:val="0"/>
          <w:numId w:val="4"/>
        </w:numPr>
        <w:bidi w:val="0"/>
        <w:ind w:left="425" w:leftChars="0" w:firstLine="195" w:firstLineChars="0"/>
      </w:pPr>
      <w:r>
        <w:t>超额利润结算方式：□问界（1.5%且≥3000元/辆） □蓝电（1.5%且≥2000元/辆）</w:t>
      </w:r>
    </w:p>
    <w:p w14:paraId="5923B9B6">
      <w:pPr>
        <w:numPr>
          <w:ilvl w:val="0"/>
          <w:numId w:val="4"/>
        </w:numPr>
        <w:bidi w:val="0"/>
        <w:ind w:left="425" w:leftChars="0" w:firstLine="195" w:firstLineChars="0"/>
      </w:pPr>
      <w:r>
        <w:rPr>
          <w:rFonts w:hint="eastAsia"/>
        </w:rPr>
        <w:t>最终合作承诺以不低于上述标准的谈判结果为准。</w:t>
      </w:r>
    </w:p>
    <w:p w14:paraId="731D9B5E">
      <w:pPr>
        <w:bidi w:val="0"/>
        <w:jc w:val="right"/>
      </w:pPr>
    </w:p>
    <w:p w14:paraId="516C22CA">
      <w:pPr>
        <w:bidi w:val="0"/>
        <w:jc w:val="right"/>
      </w:pPr>
      <w:r>
        <w:t>‌签字盖章‌：</w:t>
      </w:r>
      <w:r>
        <w:br w:type="textWrapping"/>
      </w:r>
      <w:r>
        <w:t>（公司公章）</w:t>
      </w:r>
      <w:r>
        <w:br w:type="textWrapping"/>
      </w:r>
      <w:r>
        <w:t>日期：202</w:t>
      </w:r>
      <w:r>
        <w:rPr>
          <w:rFonts w:hint="eastAsia"/>
          <w:lang w:val="en-US" w:eastAsia="zh-CN"/>
        </w:rPr>
        <w:t>6</w:t>
      </w:r>
      <w:r>
        <w:t>年____月____日</w:t>
      </w:r>
    </w:p>
    <w:p w14:paraId="15979BBE">
      <w:pPr>
        <w:bidi w:val="0"/>
      </w:pPr>
      <w:r>
        <w:t>‌备注‌：</w:t>
      </w:r>
    </w:p>
    <w:p w14:paraId="20EAE8CB">
      <w:pPr>
        <w:bidi w:val="0"/>
      </w:pPr>
      <w:r>
        <w:t>报名表及资质文件需于截止时间前</w:t>
      </w:r>
      <w:r>
        <w:rPr>
          <w:rFonts w:hint="eastAsia"/>
        </w:rPr>
        <w:t>扫描</w:t>
      </w:r>
      <w:r>
        <w:t>提交至[wuliulvneng@163.com]</w:t>
      </w:r>
      <w:r>
        <w:rPr>
          <w:rFonts w:hint="eastAsia"/>
        </w:rPr>
        <w:t>，过期无效</w:t>
      </w:r>
      <w:r>
        <w:t>。</w:t>
      </w:r>
    </w:p>
    <w:p w14:paraId="061E399D">
      <w:pPr>
        <w:bidi w:val="0"/>
      </w:pPr>
      <w:r>
        <w:t>谈判时间：2026年1月</w:t>
      </w:r>
      <w:r>
        <w:rPr>
          <w:rFonts w:hint="eastAsia"/>
          <w:lang w:val="en-US" w:eastAsia="zh-CN"/>
        </w:rPr>
        <w:t>16</w:t>
      </w:r>
      <w:r>
        <w:t>日9:00，</w:t>
      </w:r>
      <w:r>
        <w:rPr>
          <w:rFonts w:hint="eastAsia"/>
        </w:rPr>
        <w:t>重庆市南岸区茶花路盈讯天地4号楼3楼，</w:t>
      </w:r>
      <w:r>
        <w:rPr>
          <w:rFonts w:hint="eastAsia"/>
          <w:lang w:val="en-US" w:eastAsia="zh-CN"/>
        </w:rPr>
        <w:t>未</w:t>
      </w:r>
      <w:r>
        <w:rPr>
          <w:rFonts w:hint="eastAsia"/>
        </w:rPr>
        <w:t>参加面谈的报名无效。</w:t>
      </w:r>
    </w:p>
    <w:p w14:paraId="3DF0F3EF">
      <w:pPr>
        <w:bidi w:val="0"/>
      </w:pPr>
      <w:r>
        <w:rPr>
          <w:rFonts w:hint="eastAsia"/>
        </w:rPr>
        <w:t>面谈要点：销售团队组成、销售方案介绍、合作方案承诺、合规承诺、风险管控等。</w:t>
      </w:r>
    </w:p>
    <w:p w14:paraId="6CCFA622">
      <w:pPr>
        <w:bidi w:val="0"/>
      </w:pPr>
      <w:r>
        <w:br w:type="page"/>
      </w:r>
    </w:p>
    <w:p w14:paraId="65292102">
      <w:pPr>
        <w:pStyle w:val="32"/>
        <w:bidi w:val="0"/>
      </w:pPr>
      <w:r>
        <w:t>华为智选车TOB销售业务外包服务商谈判评价评分参考标准</w:t>
      </w:r>
    </w:p>
    <w:p w14:paraId="67AA8F65">
      <w:pPr>
        <w:pStyle w:val="2"/>
        <w:bidi w:val="0"/>
      </w:pPr>
    </w:p>
    <w:p w14:paraId="3856B149">
      <w:pPr>
        <w:pStyle w:val="2"/>
        <w:bidi w:val="0"/>
      </w:pPr>
      <w:r>
        <w:t>一、评分标准设计原则</w:t>
      </w:r>
    </w:p>
    <w:p w14:paraId="4165364B">
      <w:pPr>
        <w:bidi w:val="0"/>
      </w:pPr>
      <w:r>
        <w:t>‌目标导向性‌：评分聚焦于服务商能否支撑业务核心目标（如达成最低销售量、留存利润），而非单纯评估谈判技巧。</w:t>
      </w:r>
    </w:p>
    <w:p w14:paraId="66BEA05C">
      <w:pPr>
        <w:bidi w:val="0"/>
      </w:pPr>
      <w:r>
        <w:t>‌可量化评估‌：指标基于行为与结果，避免模糊表述，确保评分客观。</w:t>
      </w:r>
    </w:p>
    <w:p w14:paraId="63D2BED8">
      <w:pPr>
        <w:bidi w:val="0"/>
      </w:pPr>
      <w:r>
        <w:t>‌动态适配性‌：权重根据华为TOB业务特性调整，突出风险管控与合规要求。</w:t>
      </w:r>
    </w:p>
    <w:p w14:paraId="0BFC47CD">
      <w:pPr>
        <w:bidi w:val="0"/>
      </w:pPr>
      <w:r>
        <w:t>‌过程结果并重‌：兼顾短期业绩与长期合作潜力，防止短视决策。</w:t>
      </w:r>
    </w:p>
    <w:p w14:paraId="5078EFDB">
      <w:pPr>
        <w:pStyle w:val="2"/>
        <w:bidi w:val="0"/>
      </w:pPr>
      <w:r>
        <w:t>二、评分维度及权重</w:t>
      </w:r>
    </w:p>
    <w:tbl>
      <w:tblPr>
        <w:tblStyle w:val="34"/>
        <w:tblW w:w="9161" w:type="dxa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93"/>
        <w:gridCol w:w="1148"/>
        <w:gridCol w:w="6220"/>
      </w:tblGrid>
      <w:tr w14:paraId="52F40D4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0" w:type="auto"/>
            <w:tcBorders>
              <w:top w:val="single" w:color="EDEEF0" w:sz="6" w:space="0"/>
              <w:left w:val="single" w:color="EDEEF0" w:sz="6" w:space="0"/>
              <w:bottom w:val="single" w:color="EDEEF0" w:sz="6" w:space="0"/>
              <w:right w:val="single" w:color="EDEEF0" w:sz="6" w:space="0"/>
            </w:tcBorders>
            <w:shd w:val="clear" w:color="auto" w:fill="F5F6F9"/>
            <w:noWrap/>
            <w:tcMar>
              <w:top w:w="158" w:type="dxa"/>
              <w:left w:w="240" w:type="dxa"/>
              <w:bottom w:w="113" w:type="dxa"/>
              <w:right w:w="240" w:type="dxa"/>
            </w:tcMar>
            <w:vAlign w:val="center"/>
          </w:tcPr>
          <w:p w14:paraId="74A21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Arial" w:hAnsi="Arial" w:cs="Arial"/>
                <w:color w:val="848691"/>
              </w:rPr>
            </w:pPr>
            <w:r>
              <w:rPr>
                <w:rFonts w:ascii="Arial" w:hAnsi="Arial" w:cs="Arial"/>
                <w:color w:val="848691"/>
              </w:rPr>
              <w:t>评分维度</w:t>
            </w:r>
          </w:p>
        </w:tc>
        <w:tc>
          <w:tcPr>
            <w:tcW w:w="0" w:type="auto"/>
            <w:tcBorders>
              <w:top w:val="single" w:color="EDEEF0" w:sz="6" w:space="0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5F6F9"/>
            <w:noWrap/>
            <w:tcMar>
              <w:top w:w="158" w:type="dxa"/>
              <w:left w:w="240" w:type="dxa"/>
              <w:bottom w:w="113" w:type="dxa"/>
              <w:right w:w="240" w:type="dxa"/>
            </w:tcMar>
            <w:vAlign w:val="center"/>
          </w:tcPr>
          <w:p w14:paraId="011DB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Arial" w:hAnsi="Arial" w:cs="Arial"/>
                <w:color w:val="848691"/>
              </w:rPr>
            </w:pPr>
            <w:r>
              <w:rPr>
                <w:rFonts w:ascii="Arial" w:hAnsi="Arial" w:cs="Arial"/>
                <w:color w:val="848691"/>
              </w:rPr>
              <w:t>权重</w:t>
            </w:r>
          </w:p>
        </w:tc>
        <w:tc>
          <w:tcPr>
            <w:tcW w:w="6160" w:type="dxa"/>
            <w:tcBorders>
              <w:top w:val="single" w:color="EDEEF0" w:sz="6" w:space="0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5F6F9"/>
            <w:noWrap/>
            <w:tcMar>
              <w:top w:w="158" w:type="dxa"/>
              <w:left w:w="240" w:type="dxa"/>
              <w:bottom w:w="113" w:type="dxa"/>
              <w:right w:w="240" w:type="dxa"/>
            </w:tcMar>
            <w:vAlign w:val="center"/>
          </w:tcPr>
          <w:p w14:paraId="62048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Arial" w:hAnsi="Arial" w:cs="Arial"/>
                <w:color w:val="848691"/>
              </w:rPr>
            </w:pPr>
            <w:r>
              <w:rPr>
                <w:rFonts w:ascii="Arial" w:hAnsi="Arial" w:cs="Arial"/>
                <w:color w:val="848691"/>
              </w:rPr>
              <w:t>评分细则（满分100分）</w:t>
            </w:r>
          </w:p>
        </w:tc>
      </w:tr>
      <w:tr w14:paraId="650DE60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EDEEF0" w:sz="6" w:space="0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31E7C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‌</w:t>
            </w:r>
            <w:r>
              <w:rPr>
                <w:rStyle w:val="37"/>
                <w:rFonts w:ascii="Arial" w:hAnsi="Arial" w:cs="Arial"/>
                <w:color w:val="333333"/>
              </w:rPr>
              <w:t>合作方案承诺</w:t>
            </w:r>
            <w:r>
              <w:rPr>
                <w:rFonts w:ascii="Arial" w:hAnsi="Arial" w:cs="Arial"/>
                <w:color w:val="333333"/>
              </w:rPr>
              <w:t>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5E396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50%</w:t>
            </w:r>
          </w:p>
        </w:tc>
        <w:tc>
          <w:tcPr>
            <w:tcW w:w="6160" w:type="dxa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40F75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- 年度最低销售量承诺（≥20辆）：达标得25分，每少5辆扣5分。</w:t>
            </w:r>
            <w:r>
              <w:rPr>
                <w:rFonts w:ascii="Arial" w:hAnsi="Arial" w:cs="Arial"/>
                <w:color w:val="333333"/>
              </w:rPr>
              <w:br w:type="textWrapping"/>
            </w:r>
            <w:r>
              <w:rPr>
                <w:rFonts w:ascii="Arial" w:hAnsi="Arial" w:cs="Arial"/>
                <w:color w:val="333333"/>
              </w:rPr>
              <w:t>- 留存利润承诺（≥20万元）：达标得15分，每少5万元扣3分。</w:t>
            </w:r>
          </w:p>
        </w:tc>
      </w:tr>
      <w:tr w14:paraId="28174E4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EDEEF0" w:sz="6" w:space="0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658C8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‌</w:t>
            </w:r>
            <w:r>
              <w:rPr>
                <w:rStyle w:val="37"/>
                <w:rFonts w:ascii="Arial" w:hAnsi="Arial" w:cs="Arial"/>
                <w:color w:val="333333"/>
              </w:rPr>
              <w:t>专业能力</w:t>
            </w:r>
            <w:r>
              <w:rPr>
                <w:rFonts w:ascii="Arial" w:hAnsi="Arial" w:cs="Arial"/>
                <w:color w:val="333333"/>
              </w:rPr>
              <w:t>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2BB17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30%</w:t>
            </w:r>
          </w:p>
        </w:tc>
        <w:tc>
          <w:tcPr>
            <w:tcW w:w="6160" w:type="dxa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0B4D2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- 华为智选车TOB销售经验：提供2024年以来成功案例</w:t>
            </w:r>
            <w:r>
              <w:rPr>
                <w:rFonts w:hint="eastAsia" w:ascii="Arial" w:hAnsi="Arial" w:cs="Arial"/>
                <w:color w:val="333333"/>
              </w:rPr>
              <w:t>综合评分</w:t>
            </w:r>
            <w:r>
              <w:rPr>
                <w:rFonts w:ascii="Arial" w:hAnsi="Arial" w:cs="Arial"/>
                <w:color w:val="333333"/>
              </w:rPr>
              <w:t>（</w:t>
            </w:r>
            <w:r>
              <w:rPr>
                <w:rFonts w:hint="eastAsia" w:ascii="Arial" w:hAnsi="Arial" w:cs="Arial"/>
                <w:color w:val="333333"/>
              </w:rPr>
              <w:t>0</w:t>
            </w:r>
            <w:r>
              <w:rPr>
                <w:rFonts w:ascii="Arial" w:hAnsi="Arial" w:cs="Arial"/>
                <w:color w:val="333333"/>
              </w:rPr>
              <w:t>-15分）。</w:t>
            </w:r>
            <w:r>
              <w:rPr>
                <w:rFonts w:ascii="Arial" w:hAnsi="Arial" w:cs="Arial"/>
                <w:color w:val="333333"/>
              </w:rPr>
              <w:br w:type="textWrapping"/>
            </w:r>
            <w:r>
              <w:rPr>
                <w:rFonts w:ascii="Arial" w:hAnsi="Arial" w:cs="Arial"/>
                <w:color w:val="333333"/>
              </w:rPr>
              <w:t>- 专职销售团队：</w:t>
            </w:r>
            <w:r>
              <w:rPr>
                <w:rFonts w:hint="eastAsia" w:ascii="Arial" w:hAnsi="Arial" w:cs="Arial"/>
                <w:color w:val="333333"/>
              </w:rPr>
              <w:t>结合</w:t>
            </w:r>
            <w:r>
              <w:rPr>
                <w:rFonts w:ascii="Arial" w:hAnsi="Arial" w:cs="Arial"/>
                <w:color w:val="333333"/>
              </w:rPr>
              <w:t>团队规模</w:t>
            </w:r>
            <w:r>
              <w:rPr>
                <w:rFonts w:hint="eastAsia" w:ascii="Arial" w:hAnsi="Arial" w:cs="Arial"/>
                <w:color w:val="333333"/>
              </w:rPr>
              <w:t>综合评分（0</w:t>
            </w:r>
            <w:r>
              <w:rPr>
                <w:rFonts w:ascii="Arial" w:hAnsi="Arial" w:cs="Arial"/>
                <w:color w:val="333333"/>
              </w:rPr>
              <w:t>-10</w:t>
            </w:r>
            <w:r>
              <w:rPr>
                <w:rFonts w:hint="eastAsia" w:ascii="Arial" w:hAnsi="Arial" w:cs="Arial"/>
                <w:color w:val="333333"/>
              </w:rPr>
              <w:t>分）</w:t>
            </w:r>
            <w:r>
              <w:rPr>
                <w:rFonts w:ascii="Arial" w:hAnsi="Arial" w:cs="Arial"/>
                <w:color w:val="333333"/>
              </w:rPr>
              <w:t>。</w:t>
            </w:r>
            <w:r>
              <w:rPr>
                <w:rFonts w:ascii="Arial" w:hAnsi="Arial" w:cs="Arial"/>
                <w:color w:val="333333"/>
              </w:rPr>
              <w:br w:type="textWrapping"/>
            </w:r>
            <w:r>
              <w:rPr>
                <w:rFonts w:ascii="Arial" w:hAnsi="Arial" w:cs="Arial"/>
                <w:color w:val="333333"/>
              </w:rPr>
              <w:t>- 资金实力：</w:t>
            </w:r>
            <w:r>
              <w:rPr>
                <w:rFonts w:hint="eastAsia" w:ascii="Arial" w:hAnsi="Arial" w:cs="Arial"/>
                <w:color w:val="333333"/>
              </w:rPr>
              <w:t>（0</w:t>
            </w:r>
            <w:r>
              <w:rPr>
                <w:rFonts w:ascii="Arial" w:hAnsi="Arial" w:cs="Arial"/>
                <w:color w:val="333333"/>
              </w:rPr>
              <w:t>-5</w:t>
            </w:r>
            <w:r>
              <w:rPr>
                <w:rFonts w:hint="eastAsia" w:ascii="Arial" w:hAnsi="Arial" w:cs="Arial"/>
                <w:color w:val="333333"/>
              </w:rPr>
              <w:t>分）</w:t>
            </w:r>
            <w:r>
              <w:rPr>
                <w:rFonts w:ascii="Arial" w:hAnsi="Arial" w:cs="Arial"/>
                <w:color w:val="333333"/>
              </w:rPr>
              <w:t>。</w:t>
            </w:r>
          </w:p>
        </w:tc>
      </w:tr>
      <w:tr w14:paraId="0E161BA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EDEEF0" w:sz="6" w:space="0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5F30E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‌</w:t>
            </w:r>
            <w:r>
              <w:rPr>
                <w:rStyle w:val="37"/>
                <w:rFonts w:ascii="Arial" w:hAnsi="Arial" w:cs="Arial"/>
                <w:color w:val="333333"/>
              </w:rPr>
              <w:t>合规与风险管控</w:t>
            </w:r>
            <w:r>
              <w:rPr>
                <w:rFonts w:ascii="Arial" w:hAnsi="Arial" w:cs="Arial"/>
                <w:color w:val="333333"/>
              </w:rPr>
              <w:t>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31644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20%</w:t>
            </w:r>
          </w:p>
        </w:tc>
        <w:tc>
          <w:tcPr>
            <w:tcW w:w="6160" w:type="dxa"/>
            <w:tcBorders>
              <w:top w:val="nil"/>
              <w:left w:val="nil"/>
              <w:bottom w:val="single" w:color="EDEEF0" w:sz="6" w:space="0"/>
              <w:right w:val="single" w:color="EDEEF0" w:sz="6" w:space="0"/>
            </w:tcBorders>
            <w:shd w:val="clear" w:color="auto" w:fill="FFFFFF"/>
            <w:tcMar>
              <w:top w:w="158" w:type="dxa"/>
              <w:left w:w="240" w:type="dxa"/>
              <w:bottom w:w="158" w:type="dxa"/>
              <w:right w:w="240" w:type="dxa"/>
            </w:tcMar>
            <w:vAlign w:val="center"/>
          </w:tcPr>
          <w:p w14:paraId="434B5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- 合规承诺：接受华为管理规范</w:t>
            </w:r>
            <w:r>
              <w:rPr>
                <w:rFonts w:hint="eastAsia" w:ascii="Arial" w:hAnsi="Arial" w:cs="Arial"/>
                <w:color w:val="333333"/>
              </w:rPr>
              <w:t>、公司规范综合评分（0</w:t>
            </w:r>
            <w:r>
              <w:rPr>
                <w:rFonts w:ascii="Arial" w:hAnsi="Arial" w:cs="Arial"/>
                <w:color w:val="333333"/>
              </w:rPr>
              <w:t>-10</w:t>
            </w:r>
            <w:r>
              <w:rPr>
                <w:rFonts w:hint="eastAsia" w:ascii="Arial" w:hAnsi="Arial" w:cs="Arial"/>
                <w:color w:val="333333"/>
              </w:rPr>
              <w:t>分）</w:t>
            </w:r>
            <w:r>
              <w:rPr>
                <w:rFonts w:ascii="Arial" w:hAnsi="Arial" w:cs="Arial"/>
                <w:color w:val="333333"/>
              </w:rPr>
              <w:t>。</w:t>
            </w:r>
            <w:r>
              <w:rPr>
                <w:rFonts w:ascii="Arial" w:hAnsi="Arial" w:cs="Arial"/>
                <w:color w:val="333333"/>
              </w:rPr>
              <w:br w:type="textWrapping"/>
            </w:r>
            <w:r>
              <w:rPr>
                <w:rFonts w:ascii="Arial" w:hAnsi="Arial" w:cs="Arial"/>
                <w:color w:val="333333"/>
              </w:rPr>
              <w:t>- 风险应对：提供应急预案（如车辆交付延迟处理方案</w:t>
            </w:r>
            <w:r>
              <w:rPr>
                <w:rFonts w:hint="eastAsia" w:ascii="Arial" w:hAnsi="Arial" w:cs="Arial"/>
                <w:color w:val="333333"/>
              </w:rPr>
              <w:t>、客户投诉处理方案等</w:t>
            </w:r>
            <w:r>
              <w:rPr>
                <w:rFonts w:ascii="Arial" w:hAnsi="Arial" w:cs="Arial"/>
                <w:color w:val="333333"/>
              </w:rPr>
              <w:t>）</w:t>
            </w:r>
            <w:r>
              <w:rPr>
                <w:rFonts w:hint="eastAsia" w:ascii="Arial" w:hAnsi="Arial" w:cs="Arial"/>
                <w:color w:val="333333"/>
              </w:rPr>
              <w:t>综合评分（0</w:t>
            </w:r>
            <w:r>
              <w:rPr>
                <w:rFonts w:ascii="Arial" w:hAnsi="Arial" w:cs="Arial"/>
                <w:color w:val="333333"/>
              </w:rPr>
              <w:t>-10</w:t>
            </w:r>
            <w:r>
              <w:rPr>
                <w:rFonts w:hint="eastAsia" w:ascii="Arial" w:hAnsi="Arial" w:cs="Arial"/>
                <w:color w:val="333333"/>
              </w:rPr>
              <w:t>分）</w:t>
            </w:r>
          </w:p>
        </w:tc>
      </w:tr>
    </w:tbl>
    <w:p w14:paraId="749F5DBC">
      <w:pPr>
        <w:pStyle w:val="2"/>
        <w:bidi w:val="0"/>
      </w:pPr>
      <w:r>
        <w:t>三、评分说明</w:t>
      </w:r>
    </w:p>
    <w:p w14:paraId="7E358DD8">
      <w:pPr>
        <w:bidi w:val="0"/>
      </w:pPr>
      <w:r>
        <w:t>‌总分计算‌：各维度得分加权求和，总分最高者优先。</w:t>
      </w:r>
    </w:p>
    <w:p w14:paraId="5BA1F25E">
      <w:pPr>
        <w:bidi w:val="0"/>
      </w:pPr>
      <w:r>
        <w:t>‌否决条款‌：若服务商未满足合规承诺或资金证明要求，直接淘汰。</w:t>
      </w:r>
    </w:p>
    <w:p w14:paraId="7F56ABE6">
      <w:pPr>
        <w:bidi w:val="0"/>
      </w:pPr>
      <w:r>
        <w:t>‌动态调整</w:t>
      </w:r>
      <w:bookmarkStart w:id="0" w:name="_GoBack"/>
      <w:bookmarkEnd w:id="0"/>
      <w:r>
        <w:t>‌：根据谈判中服务商表现（如方案灵活性）微调权重，确保适配业务需求。</w:t>
      </w:r>
    </w:p>
    <w:p w14:paraId="7094AA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16"/>
      </w:pPr>
      <w:r>
        <w:separator/>
      </w:r>
    </w:p>
  </w:endnote>
  <w:endnote w:type="continuationSeparator" w:id="1">
    <w:p>
      <w:pPr>
        <w:spacing w:line="240" w:lineRule="auto"/>
        <w:ind w:firstLine="61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16"/>
      </w:pPr>
      <w:r>
        <w:separator/>
      </w:r>
    </w:p>
  </w:footnote>
  <w:footnote w:type="continuationSeparator" w:id="1">
    <w:p>
      <w:pPr>
        <w:spacing w:line="240" w:lineRule="auto"/>
        <w:ind w:firstLine="616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80E690"/>
    <w:multiLevelType w:val="singleLevel"/>
    <w:tmpl w:val="AE80E6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D5D1DE6"/>
    <w:multiLevelType w:val="singleLevel"/>
    <w:tmpl w:val="FD5D1DE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F719C93"/>
    <w:multiLevelType w:val="singleLevel"/>
    <w:tmpl w:val="3F719C9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B01D43E"/>
    <w:multiLevelType w:val="singleLevel"/>
    <w:tmpl w:val="5B01D43E"/>
    <w:lvl w:ilvl="0" w:tentative="0">
      <w:start w:val="1"/>
      <w:numFmt w:val="bullet"/>
      <w:pStyle w:val="15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57E11"/>
    <w:rsid w:val="7455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adjustRightInd w:val="0"/>
      <w:snapToGrid w:val="0"/>
      <w:spacing w:line="576" w:lineRule="exact"/>
      <w:ind w:firstLine="1454" w:firstLineChars="200"/>
      <w:jc w:val="both"/>
    </w:pPr>
    <w:rPr>
      <w:rFonts w:ascii="方正仿宋_GBK" w:hAnsi="方正仿宋_GBK" w:eastAsia="方正仿宋_GBK" w:cs="方正仿宋_GBK"/>
      <w:color w:val="262626" w:themeColor="text1" w:themeTint="D9"/>
      <w:spacing w:val="-6"/>
      <w:kern w:val="2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">
    <w:name w:val="heading 1"/>
    <w:basedOn w:val="1"/>
    <w:next w:val="1"/>
    <w:qFormat/>
    <w:uiPriority w:val="0"/>
    <w:pPr>
      <w:outlineLvl w:val="0"/>
    </w:pPr>
    <w:rPr>
      <w:rFonts w:ascii="方正黑体_GBK" w:hAnsi="方正黑体_GBK" w:eastAsia="方正黑体_GBK" w:cs="方正黑体_GBK"/>
    </w:rPr>
  </w:style>
  <w:style w:type="paragraph" w:styleId="3">
    <w:name w:val="heading 2"/>
    <w:basedOn w:val="1"/>
    <w:next w:val="4"/>
    <w:unhideWhenUsed/>
    <w:qFormat/>
    <w:uiPriority w:val="0"/>
    <w:pPr>
      <w:outlineLvl w:val="1"/>
    </w:pPr>
    <w:rPr>
      <w:rFonts w:ascii="方正楷体_GBK" w:hAnsi="方正楷体_GBK" w:eastAsia="方正楷体_GBK" w:cs="方正楷体_GBK"/>
    </w:rPr>
  </w:style>
  <w:style w:type="paragraph" w:styleId="5">
    <w:name w:val="heading 3"/>
    <w:next w:val="4"/>
    <w:unhideWhenUsed/>
    <w:qFormat/>
    <w:uiPriority w:val="0"/>
    <w:pPr>
      <w:keepNext/>
      <w:keepLines/>
      <w:tabs>
        <w:tab w:val="left" w:pos="312"/>
      </w:tabs>
      <w:adjustRightInd w:val="0"/>
      <w:snapToGrid w:val="0"/>
      <w:spacing w:line="576" w:lineRule="exact"/>
      <w:ind w:firstLine="1454" w:firstLineChars="200"/>
      <w:outlineLvl w:val="2"/>
    </w:pPr>
    <w:rPr>
      <w:rFonts w:ascii="仿宋" w:hAnsi="仿宋" w:eastAsia="仿宋" w:cs="Times New Roman"/>
      <w:color w:val="404040" w:themeColor="text1" w:themeTint="BF"/>
      <w:sz w:val="32"/>
      <w:szCs w:val="32"/>
      <w:lang w:val="en-US" w:eastAsia="zh-CN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6">
    <w:name w:val="heading 4"/>
    <w:next w:val="4"/>
    <w:link w:val="62"/>
    <w:unhideWhenUsed/>
    <w:qFormat/>
    <w:uiPriority w:val="0"/>
    <w:pPr>
      <w:keepNext/>
      <w:keepLines/>
      <w:adjustRightInd w:val="0"/>
      <w:snapToGrid w:val="0"/>
      <w:spacing w:line="576" w:lineRule="exact"/>
      <w:ind w:firstLine="894" w:firstLineChars="200"/>
      <w:outlineLvl w:val="3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7">
    <w:name w:val="heading 5"/>
    <w:next w:val="4"/>
    <w:unhideWhenUsed/>
    <w:qFormat/>
    <w:uiPriority w:val="0"/>
    <w:pPr>
      <w:adjustRightInd w:val="0"/>
      <w:snapToGrid w:val="0"/>
      <w:spacing w:line="576" w:lineRule="exact"/>
      <w:ind w:firstLine="894" w:firstLineChars="200"/>
      <w:outlineLvl w:val="4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8">
    <w:name w:val="heading 6"/>
    <w:next w:val="4"/>
    <w:unhideWhenUsed/>
    <w:qFormat/>
    <w:uiPriority w:val="0"/>
    <w:pPr>
      <w:adjustRightInd w:val="0"/>
      <w:snapToGrid w:val="0"/>
      <w:spacing w:line="576" w:lineRule="exact"/>
      <w:ind w:firstLine="894" w:firstLineChars="200"/>
      <w:outlineLvl w:val="5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9">
    <w:name w:val="heading 7"/>
    <w:next w:val="4"/>
    <w:unhideWhenUsed/>
    <w:qFormat/>
    <w:uiPriority w:val="0"/>
    <w:pPr>
      <w:adjustRightInd w:val="0"/>
      <w:snapToGrid w:val="0"/>
      <w:spacing w:line="576" w:lineRule="exact"/>
      <w:ind w:firstLine="894" w:firstLineChars="200"/>
      <w:outlineLvl w:val="6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8"/>
    <w:next w:val="4"/>
    <w:unhideWhenUsed/>
    <w:qFormat/>
    <w:uiPriority w:val="0"/>
    <w:pPr>
      <w:adjustRightInd w:val="0"/>
      <w:snapToGrid w:val="0"/>
      <w:spacing w:line="576" w:lineRule="exact"/>
      <w:ind w:firstLine="894" w:firstLineChars="200"/>
      <w:outlineLvl w:val="7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next w:val="4"/>
    <w:unhideWhenUsed/>
    <w:qFormat/>
    <w:uiPriority w:val="0"/>
    <w:pPr>
      <w:adjustRightInd w:val="0"/>
      <w:snapToGrid w:val="0"/>
      <w:spacing w:line="576" w:lineRule="exact"/>
      <w:ind w:firstLine="894" w:firstLineChars="200"/>
      <w:outlineLvl w:val="8"/>
    </w:pPr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36">
    <w:name w:val="Default Paragraph Font"/>
    <w:semiHidden/>
    <w:unhideWhenUsed/>
    <w:qFormat/>
    <w:uiPriority w:val="1"/>
  </w:style>
  <w:style w:type="table" w:default="1" w:styleId="3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link w:val="66"/>
    <w:qFormat/>
    <w:uiPriority w:val="0"/>
    <w:pPr>
      <w:adjustRightInd w:val="0"/>
      <w:snapToGrid w:val="0"/>
      <w:spacing w:line="576" w:lineRule="exact"/>
      <w:ind w:firstLine="630" w:firstLineChars="200"/>
    </w:pPr>
    <w:rPr>
      <w:rFonts w:ascii="仿宋" w:hAnsi="仿宋" w:eastAsia="仿宋" w:cs="Times New Roman"/>
      <w:color w:val="262626" w:themeColor="text1" w:themeTint="D9"/>
      <w:spacing w:val="-6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2">
    <w:name w:val="caption"/>
    <w:basedOn w:val="1"/>
    <w:next w:val="1"/>
    <w:unhideWhenUsed/>
    <w:qFormat/>
    <w:uiPriority w:val="0"/>
    <w:pPr>
      <w:ind w:firstLine="0" w:firstLineChars="0"/>
    </w:pPr>
    <w:rPr>
      <w:rFonts w:cs="仿宋"/>
      <w:sz w:val="20"/>
    </w:rPr>
  </w:style>
  <w:style w:type="paragraph" w:styleId="13">
    <w:name w:val="annotation text"/>
    <w:basedOn w:val="1"/>
    <w:qFormat/>
    <w:uiPriority w:val="0"/>
    <w:pPr>
      <w:jc w:val="lef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4">
    <w:name w:val="Salutation"/>
    <w:basedOn w:val="1"/>
    <w:next w:val="1"/>
    <w:qFormat/>
    <w:uiPriority w:val="0"/>
    <w:pPr>
      <w:ind w:firstLine="0" w:firstLineChars="0"/>
    </w:pPr>
  </w:style>
  <w:style w:type="paragraph" w:styleId="15">
    <w:name w:val="List Bullet 3"/>
    <w:basedOn w:val="1"/>
    <w:qFormat/>
    <w:uiPriority w:val="0"/>
    <w:pPr>
      <w:numPr>
        <w:ilvl w:val="0"/>
        <w:numId w:val="1"/>
      </w:numPr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6">
    <w:name w:val="toc 5"/>
    <w:basedOn w:val="1"/>
    <w:next w:val="1"/>
    <w:qFormat/>
    <w:uiPriority w:val="0"/>
    <w:pPr>
      <w:ind w:left="1680" w:leftChars="800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7">
    <w:name w:val="toc 3"/>
    <w:basedOn w:val="1"/>
    <w:next w:val="1"/>
    <w:qFormat/>
    <w:uiPriority w:val="0"/>
    <w:pPr>
      <w:ind w:left="840" w:leftChars="400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8">
    <w:name w:val="Plain Text"/>
    <w:basedOn w:val="1"/>
    <w:qFormat/>
    <w:uiPriority w:val="0"/>
    <w:rPr>
      <w:rFonts w:ascii="宋体" w:hAnsi="Courier New"/>
      <w:snapToGrid w:val="0"/>
      <w:color w:val="262626" w:themeColor="text1" w:themeTint="D9"/>
      <w:kern w:val="0"/>
      <w:sz w:val="20"/>
      <w:szCs w:val="21"/>
      <w:lang w:val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9">
    <w:name w:val="Date"/>
    <w:basedOn w:val="1"/>
    <w:next w:val="1"/>
    <w:qFormat/>
    <w:uiPriority w:val="0"/>
    <w:pPr>
      <w:ind w:firstLine="0" w:firstLineChars="0"/>
      <w:jc w:val="righ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0">
    <w:name w:val="endnote text"/>
    <w:basedOn w:val="1"/>
    <w:qFormat/>
    <w:uiPriority w:val="0"/>
    <w:pPr>
      <w:jc w:val="lef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1">
    <w:name w:val="Balloon Text"/>
    <w:basedOn w:val="1"/>
    <w:qFormat/>
    <w:uiPriority w:val="0"/>
    <w:rPr>
      <w:sz w:val="18"/>
      <w:szCs w:val="18"/>
    </w:rPr>
  </w:style>
  <w:style w:type="paragraph" w:styleId="22">
    <w:name w:val="footer"/>
    <w:basedOn w:val="1"/>
    <w:qFormat/>
    <w:uiPriority w:val="0"/>
    <w:pPr>
      <w:tabs>
        <w:tab w:val="center" w:pos="4153"/>
        <w:tab w:val="right" w:pos="8306"/>
      </w:tabs>
      <w:ind w:firstLine="0" w:firstLineChars="0"/>
      <w:jc w:val="left"/>
    </w:pPr>
    <w:rPr>
      <w:sz w:val="18"/>
      <w:szCs w:val="18"/>
    </w:rPr>
  </w:style>
  <w:style w:type="paragraph" w:styleId="2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  <w:ind w:firstLine="0" w:firstLineChars="0"/>
    </w:pPr>
    <w:rPr>
      <w:sz w:val="18"/>
      <w:szCs w:val="18"/>
    </w:rPr>
  </w:style>
  <w:style w:type="paragraph" w:styleId="24">
    <w:name w:val="Signature"/>
    <w:basedOn w:val="1"/>
    <w:qFormat/>
    <w:uiPriority w:val="0"/>
    <w:pPr>
      <w:ind w:firstLine="0" w:firstLineChars="0"/>
      <w:jc w:val="righ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5">
    <w:name w:val="toc 1"/>
    <w:basedOn w:val="1"/>
    <w:next w:val="1"/>
    <w:qFormat/>
    <w:uiPriority w:val="0"/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6">
    <w:name w:val="toc 4"/>
    <w:basedOn w:val="1"/>
    <w:next w:val="1"/>
    <w:qFormat/>
    <w:uiPriority w:val="0"/>
    <w:pPr>
      <w:ind w:left="1260" w:leftChars="600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7">
    <w:name w:val="Subtitle"/>
    <w:next w:val="4"/>
    <w:link w:val="63"/>
    <w:qFormat/>
    <w:uiPriority w:val="0"/>
    <w:pPr>
      <w:adjustRightInd w:val="0"/>
      <w:snapToGrid w:val="0"/>
      <w:spacing w:before="50" w:beforeLines="50" w:after="100" w:afterLines="100" w:line="240" w:lineRule="auto"/>
      <w:jc w:val="center"/>
      <w:outlineLvl w:val="1"/>
    </w:pPr>
    <w:rPr>
      <w:rFonts w:ascii="黑体" w:hAnsi="黑体" w:eastAsia="黑体" w:cs="Times New Roman"/>
      <w:color w:val="262626" w:themeColor="text1" w:themeTint="D9"/>
      <w:kern w:val="28"/>
      <w:sz w:val="48"/>
      <w:szCs w:val="4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28">
    <w:name w:val="footnote text"/>
    <w:basedOn w:val="1"/>
    <w:link w:val="47"/>
    <w:qFormat/>
    <w:uiPriority w:val="0"/>
    <w:pPr>
      <w:jc w:val="left"/>
    </w:pPr>
    <w:rPr>
      <w:sz w:val="18"/>
      <w:szCs w:val="18"/>
    </w:rPr>
  </w:style>
  <w:style w:type="paragraph" w:styleId="29">
    <w:name w:val="toc 2"/>
    <w:basedOn w:val="1"/>
    <w:next w:val="1"/>
    <w:qFormat/>
    <w:uiPriority w:val="0"/>
    <w:pPr>
      <w:ind w:left="420" w:leftChars="200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3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1">
    <w:name w:val="Normal (Web)"/>
    <w:basedOn w:val="1"/>
    <w:qFormat/>
    <w:uiPriority w:val="0"/>
    <w:rPr>
      <w:sz w:val="24"/>
      <w:szCs w:val="24"/>
    </w:rPr>
  </w:style>
  <w:style w:type="paragraph" w:styleId="32">
    <w:name w:val="Title"/>
    <w:basedOn w:val="1"/>
    <w:link w:val="67"/>
    <w:qFormat/>
    <w:uiPriority w:val="0"/>
    <w:pPr>
      <w:ind w:firstLine="0" w:firstLineChars="0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33">
    <w:name w:val="annotation subject"/>
    <w:basedOn w:val="13"/>
    <w:next w:val="13"/>
    <w:qFormat/>
    <w:uiPriority w:val="0"/>
    <w:rPr>
      <w:b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table" w:styleId="35">
    <w:name w:val="Table Grid"/>
    <w:basedOn w:val="3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7">
    <w:name w:val="Strong"/>
    <w:qFormat/>
    <w:uiPriority w:val="0"/>
    <w:rPr>
      <w:rFonts w:ascii="仿宋" w:hAnsi="仿宋" w:eastAsia="仿宋" w:cs="Times New Roman"/>
      <w:b/>
      <w:bCs/>
      <w:color w:val="262626" w:themeColor="text1" w:themeTint="D9"/>
      <w:spacing w:val="-6"/>
      <w:kern w:val="2"/>
      <w:sz w:val="32"/>
      <w:szCs w:val="32"/>
      <w:u w:val="single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8">
    <w:name w:val="endnote reference"/>
    <w:basedOn w:val="36"/>
    <w:qFormat/>
    <w:uiPriority w:val="0"/>
    <w:rPr>
      <w:rFonts w:ascii="仿宋" w:hAnsi="仿宋" w:eastAsia="仿宋"/>
      <w:color w:val="262626" w:themeColor="text1" w:themeTint="D9"/>
      <w:vertAlign w:val="superscript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39">
    <w:name w:val="page number"/>
    <w:qFormat/>
    <w:uiPriority w:val="0"/>
    <w:rPr>
      <w:rFonts w:ascii="宋体" w:hAnsi="宋体" w:eastAsia="宋体" w:cs="Times New Roman"/>
      <w:color w:val="262626" w:themeColor="text1" w:themeTint="D9"/>
      <w:spacing w:val="-6"/>
      <w:kern w:val="2"/>
      <w:sz w:val="28"/>
      <w:szCs w:val="2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40">
    <w:name w:val="FollowedHyperlink"/>
    <w:basedOn w:val="36"/>
    <w:qFormat/>
    <w:uiPriority w:val="0"/>
    <w:rPr>
      <w:rFonts w:ascii="仿宋" w:hAnsi="仿宋" w:eastAsia="仿宋" w:cs="Times New Roman"/>
      <w:color w:val="800080"/>
      <w:spacing w:val="-6"/>
      <w:kern w:val="2"/>
      <w:sz w:val="32"/>
      <w:szCs w:val="32"/>
      <w:u w:val="single"/>
      <w:lang w:val="en-US" w:eastAsia="zh-CN" w:bidi="ar-SA"/>
    </w:rPr>
  </w:style>
  <w:style w:type="character" w:styleId="41">
    <w:name w:val="Emphasis"/>
    <w:qFormat/>
    <w:uiPriority w:val="0"/>
    <w:rPr>
      <w:rFonts w:ascii="仿宋" w:hAnsi="仿宋" w:eastAsia="仿宋" w:cs="Times New Roman"/>
      <w:b/>
      <w:bCs/>
      <w:color w:val="262626" w:themeColor="text1" w:themeTint="D9"/>
      <w:spacing w:val="-6"/>
      <w:kern w:val="2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42">
    <w:name w:val="Hyperlink"/>
    <w:basedOn w:val="36"/>
    <w:qFormat/>
    <w:uiPriority w:val="0"/>
    <w:rPr>
      <w:rFonts w:ascii="仿宋" w:hAnsi="仿宋" w:eastAsia="仿宋" w:cs="Times New Roman"/>
      <w:caps/>
      <w:color w:val="0000FF"/>
      <w:spacing w:val="-6"/>
      <w:kern w:val="2"/>
      <w:sz w:val="32"/>
      <w:szCs w:val="32"/>
      <w:u w:val="single"/>
      <w:lang w:val="en-US" w:eastAsia="zh-CN" w:bidi="ar-SA"/>
    </w:rPr>
  </w:style>
  <w:style w:type="character" w:styleId="43">
    <w:name w:val="annotation reference"/>
    <w:basedOn w:val="36"/>
    <w:qFormat/>
    <w:uiPriority w:val="0"/>
    <w:rPr>
      <w:rFonts w:ascii="仿宋" w:hAnsi="仿宋" w:eastAsia="仿宋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44">
    <w:name w:val="footnote reference"/>
    <w:basedOn w:val="36"/>
    <w:qFormat/>
    <w:uiPriority w:val="0"/>
    <w:rPr>
      <w:rFonts w:ascii="仿宋" w:hAnsi="仿宋" w:eastAsia="仿宋"/>
      <w:color w:val="262626" w:themeColor="text1" w:themeTint="D9"/>
      <w:vertAlign w:val="superscript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45">
    <w:name w:val="marklang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6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47">
    <w:name w:val="Footnote Text Char"/>
    <w:link w:val="28"/>
    <w:semiHidden/>
    <w:unhideWhenUsed/>
    <w:qFormat/>
    <w:uiPriority w:val="99"/>
    <w:rPr>
      <w:sz w:val="18"/>
      <w:szCs w:val="18"/>
    </w:rPr>
  </w:style>
  <w:style w:type="paragraph" w:customStyle="1" w:styleId="4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4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paragraph" w:customStyle="1" w:styleId="50">
    <w:name w:val="文档说明标题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50" w:beforeLines="50" w:after="100" w:afterLines="100" w:line="240" w:lineRule="auto"/>
      <w:jc w:val="center"/>
      <w:outlineLvl w:val="0"/>
    </w:pPr>
    <w:rPr>
      <w:rFonts w:ascii="黑体" w:hAnsi="黑体" w:eastAsia="黑体" w:cstheme="minorBidi"/>
      <w:color w:val="262626" w:themeColor="text1" w:themeTint="D9"/>
      <w:kern w:val="44"/>
      <w:sz w:val="48"/>
      <w:szCs w:val="4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51">
    <w:name w:val="章标题"/>
    <w:basedOn w:val="1"/>
    <w:next w:val="1"/>
    <w:qFormat/>
    <w:uiPriority w:val="0"/>
    <w:pPr>
      <w:spacing w:before="50" w:beforeLines="50" w:after="100" w:afterLines="100" w:line="240" w:lineRule="auto"/>
      <w:ind w:firstLine="0" w:firstLineChars="0"/>
      <w:jc w:val="center"/>
      <w:outlineLvl w:val="0"/>
    </w:pPr>
    <w:rPr>
      <w:rFonts w:hint="eastAsia" w:ascii="黑体" w:hAnsi="黑体" w:eastAsia="黑体"/>
      <w:bCs/>
      <w:kern w:val="44"/>
      <w:sz w:val="44"/>
      <w:szCs w:val="44"/>
    </w:rPr>
  </w:style>
  <w:style w:type="paragraph" w:customStyle="1" w:styleId="52">
    <w:name w:val="节标题"/>
    <w:next w:val="1"/>
    <w:qFormat/>
    <w:uiPriority w:val="0"/>
    <w:pPr>
      <w:tabs>
        <w:tab w:val="left" w:pos="0"/>
      </w:tabs>
      <w:adjustRightInd w:val="0"/>
      <w:snapToGrid w:val="0"/>
      <w:spacing w:before="50" w:beforeLines="50" w:after="100" w:afterLines="100" w:line="240" w:lineRule="auto"/>
      <w:jc w:val="center"/>
    </w:pPr>
    <w:rPr>
      <w:rFonts w:ascii="黑体" w:hAnsi="黑体" w:eastAsia="黑体" w:cstheme="minorBidi"/>
      <w:color w:val="262626" w:themeColor="text1" w:themeTint="D9"/>
      <w:sz w:val="36"/>
      <w:szCs w:val="36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53">
    <w:name w:val="附录标题"/>
    <w:next w:val="4"/>
    <w:qFormat/>
    <w:uiPriority w:val="0"/>
    <w:pPr>
      <w:overflowPunct w:val="0"/>
      <w:topLinePunct/>
      <w:adjustRightInd w:val="0"/>
      <w:snapToGrid w:val="0"/>
      <w:spacing w:after="100" w:afterLines="100" w:line="240" w:lineRule="auto"/>
      <w:jc w:val="center"/>
    </w:pPr>
    <w:rPr>
      <w:rFonts w:hint="eastAsia" w:ascii="黑体" w:hAnsi="黑体" w:eastAsia="黑体" w:cs="Times New Roman"/>
      <w:color w:val="262626" w:themeColor="text1" w:themeTint="D9"/>
      <w:sz w:val="48"/>
      <w:szCs w:val="4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54">
    <w:name w:val="摘要"/>
    <w:basedOn w:val="36"/>
    <w:qFormat/>
    <w:uiPriority w:val="0"/>
    <w:rPr>
      <w:rFonts w:hint="eastAsia" w:ascii="黑体" w:hAnsi="黑体" w:eastAsia="黑体"/>
      <w:color w:val="262626" w:themeColor="text1" w:themeTint="D9"/>
      <w:sz w:val="30"/>
      <w:szCs w:val="30"/>
      <w:lang w:val="en-US" w:eastAsia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55">
    <w:name w:val="关键词"/>
    <w:basedOn w:val="36"/>
    <w:qFormat/>
    <w:uiPriority w:val="0"/>
    <w:rPr>
      <w:rFonts w:hint="eastAsia" w:ascii="黑体" w:hAnsi="黑体" w:eastAsia="黑体"/>
      <w:color w:val="262626" w:themeColor="text1" w:themeTint="D9"/>
      <w:sz w:val="30"/>
      <w:szCs w:val="3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56">
    <w:name w:val="题注1"/>
    <w:basedOn w:val="1"/>
    <w:qFormat/>
    <w:uiPriority w:val="0"/>
    <w:pPr>
      <w:ind w:firstLine="0" w:firstLineChars="0"/>
    </w:pPr>
    <w:rPr>
      <w:rFonts w:hint="eastAsia"/>
      <w:sz w:val="20"/>
      <w:szCs w:val="20"/>
    </w:rPr>
  </w:style>
  <w:style w:type="paragraph" w:customStyle="1" w:styleId="57">
    <w:name w:val="目录标题"/>
    <w:qFormat/>
    <w:uiPriority w:val="0"/>
    <w:pPr>
      <w:adjustRightInd w:val="0"/>
      <w:jc w:val="center"/>
      <w:textAlignment w:val="center"/>
    </w:pPr>
    <w:rPr>
      <w:rFonts w:ascii="汉仪中宋简" w:hAnsi="汉仪中宋简" w:eastAsia="汉仪中宋简" w:cs="Times New Roman"/>
      <w:color w:val="262626" w:themeColor="text1" w:themeTint="D9"/>
      <w:sz w:val="36"/>
      <w:szCs w:val="36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58">
    <w:name w:val="主送对象"/>
    <w:next w:val="4"/>
    <w:qFormat/>
    <w:uiPriority w:val="0"/>
    <w:pPr>
      <w:adjustRightInd w:val="0"/>
      <w:snapToGrid w:val="0"/>
      <w:spacing w:line="576" w:lineRule="exact"/>
    </w:pPr>
    <w:rPr>
      <w:rFonts w:hint="eastAsia"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59">
    <w:name w:val="致谢标题"/>
    <w:qFormat/>
    <w:uiPriority w:val="0"/>
    <w:pPr>
      <w:keepNext/>
      <w:keepLines/>
      <w:adjustRightInd w:val="0"/>
      <w:snapToGrid w:val="0"/>
      <w:spacing w:before="50" w:beforeLines="50" w:line="312" w:lineRule="auto"/>
      <w:jc w:val="center"/>
      <w:outlineLvl w:val="0"/>
    </w:pPr>
    <w:rPr>
      <w:rFonts w:ascii="+西文标题" w:hAnsi="+西文标题" w:eastAsia="+中文标题" w:cs="Times New Roman"/>
      <w:b/>
      <w:bCs/>
      <w:kern w:val="44"/>
      <w:sz w:val="32"/>
      <w:szCs w:val="32"/>
    </w:rPr>
  </w:style>
  <w:style w:type="paragraph" w:customStyle="1" w:styleId="60">
    <w:name w:val="参考文献标题"/>
    <w:qFormat/>
    <w:uiPriority w:val="0"/>
    <w:pPr>
      <w:keepNext/>
      <w:keepLines/>
      <w:spacing w:before="50" w:beforeLines="50" w:after="20" w:afterLines="20" w:line="312" w:lineRule="auto"/>
      <w:jc w:val="center"/>
      <w:outlineLvl w:val="0"/>
    </w:pPr>
    <w:rPr>
      <w:rFonts w:ascii="+西文标题" w:hAnsi="+西文标题" w:eastAsia="+中文标题" w:cs="Times New Roman"/>
      <w:b/>
      <w:bCs/>
      <w:kern w:val="44"/>
      <w:sz w:val="32"/>
      <w:szCs w:val="32"/>
    </w:rPr>
  </w:style>
  <w:style w:type="paragraph" w:customStyle="1" w:styleId="61">
    <w:name w:val="声明标题"/>
    <w:qFormat/>
    <w:uiPriority w:val="0"/>
    <w:pPr>
      <w:keepNext/>
      <w:keepLines/>
      <w:adjustRightInd w:val="0"/>
      <w:snapToGrid w:val="0"/>
      <w:spacing w:before="50" w:beforeLines="50" w:line="312" w:lineRule="auto"/>
      <w:jc w:val="center"/>
      <w:outlineLvl w:val="0"/>
    </w:pPr>
    <w:rPr>
      <w:rFonts w:hint="default" w:cs="Times New Roman" w:asciiTheme="majorAscii" w:hAnsiTheme="majorAscii" w:eastAsiaTheme="majorEastAsia"/>
      <w:b/>
      <w:bCs/>
      <w:kern w:val="44"/>
      <w:sz w:val="32"/>
      <w:szCs w:val="32"/>
    </w:rPr>
  </w:style>
  <w:style w:type="character" w:customStyle="1" w:styleId="62">
    <w:name w:val="标题 4 字符"/>
    <w:link w:val="6"/>
    <w:qFormat/>
    <w:uiPriority w:val="9"/>
    <w:rPr>
      <w:rFonts w:ascii="仿宋" w:hAnsi="仿宋" w:eastAsia="仿宋" w:cs="Times New Roman"/>
      <w:color w:val="262626" w:themeColor="text1" w:themeTint="D9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63">
    <w:name w:val="副标题 字符"/>
    <w:link w:val="27"/>
    <w:qFormat/>
    <w:uiPriority w:val="0"/>
    <w:rPr>
      <w:rFonts w:ascii="黑体" w:hAnsi="黑体" w:eastAsia="黑体" w:cs="Times New Roman"/>
      <w:color w:val="262626" w:themeColor="text1" w:themeTint="D9"/>
      <w:kern w:val="28"/>
      <w:sz w:val="48"/>
      <w:szCs w:val="4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64">
    <w:name w:val="参考文献条目"/>
    <w:basedOn w:val="36"/>
    <w:qFormat/>
    <w:uiPriority w:val="0"/>
    <w:rPr>
      <w:rFonts w:ascii="黑体" w:hAnsi="黑体" w:eastAsia="黑体" w:cs="Times New Roman"/>
      <w:color w:val="262626" w:themeColor="text1" w:themeTint="D9"/>
      <w:sz w:val="30"/>
      <w:szCs w:val="30"/>
      <w:lang w:val="en-US" w:eastAsia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65">
    <w:name w:val="着重标题"/>
    <w:basedOn w:val="36"/>
    <w:qFormat/>
    <w:uiPriority w:val="0"/>
    <w:rPr>
      <w:rFonts w:ascii="黑体" w:hAnsi="黑体" w:eastAsia="黑体" w:cs="Times New Roman"/>
      <w:color w:val="262626" w:themeColor="text1" w:themeTint="D9"/>
      <w:sz w:val="30"/>
      <w:szCs w:val="30"/>
      <w:lang w:val="en-US" w:eastAsia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66">
    <w:name w:val="正文文本 字符"/>
    <w:link w:val="4"/>
    <w:qFormat/>
    <w:uiPriority w:val="0"/>
    <w:rPr>
      <w:rFonts w:ascii="仿宋" w:hAnsi="仿宋" w:eastAsia="仿宋" w:cs="Times New Roman"/>
      <w:color w:val="262626" w:themeColor="text1" w:themeTint="D9"/>
      <w:spacing w:val="-6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67">
    <w:name w:val="标题 字符"/>
    <w:link w:val="32"/>
    <w:qFormat/>
    <w:uiPriority w:val="0"/>
    <w:rPr>
      <w:rFonts w:ascii="方正小标宋_GBK" w:hAnsi="方正小标宋_GBK" w:eastAsia="方正小标宋_GBK" w:cs="方正小标宋_GBK"/>
      <w:sz w:val="44"/>
      <w:szCs w:val="44"/>
    </w:rPr>
  </w:style>
  <w:style w:type="paragraph" w:customStyle="1" w:styleId="68">
    <w:name w:val="表格标题"/>
    <w:next w:val="1"/>
    <w:qFormat/>
    <w:uiPriority w:val="0"/>
    <w:pPr>
      <w:overflowPunct w:val="0"/>
      <w:topLinePunct/>
      <w:jc w:val="center"/>
    </w:pPr>
    <w:rPr>
      <w:rFonts w:hint="eastAsia" w:ascii="仿宋" w:hAnsi="仿宋" w:eastAsia="仿宋" w:cs="Times New Roman"/>
      <w:color w:val="262626" w:themeColor="text1" w:themeTint="D9"/>
      <w:spacing w:val="-6"/>
      <w:sz w:val="32"/>
      <w:szCs w:val="32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2026-01-12T12:51:00Z</dcterms:created>
  <dc:creator>Administrator</dc:creator>
  <cp:lastModifiedBy>Administrator</cp:lastModifiedBy>
  <dcterms:modified xsi:type="dcterms:W3CDTF">2026-01-12T12:56:53Z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0D5E7BBAE38A4BA78A12BC3D6E396F96_11</vt:lpwstr>
  </property>
  <property fmtid="{D5CDD505-2E9C-101B-9397-08002B2CF9AE}" pid="4" name="KSOTemplateDocerSaveRecord">
    <vt:lpwstr>eyJoZGlkIjoiMTAyMzJkOGNiMDEyZDQzM2FkNGM4ODJmZGE4NDczMDMiLCJ1c2VySWQiOiIyMjQwNDg4MjYifQ==</vt:lpwstr>
  </property>
</Properties>
</file>