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A71609D">
      <w:pPr>
        <w:jc w:val="center"/>
        <w:rPr>
          <w:rFonts w:hint="default" w:ascii="Times New Roman" w:hAnsi="Times New Roman" w:eastAsia="方正小标宋_GBK" w:cs="Times New Roman"/>
          <w:sz w:val="32"/>
          <w:szCs w:val="32"/>
          <w:lang w:eastAsia="zh-CN"/>
        </w:rPr>
      </w:pPr>
      <w:r>
        <w:rPr>
          <w:rFonts w:hint="default" w:ascii="Times New Roman" w:hAnsi="Times New Roman" w:eastAsia="方正小标宋_GBK" w:cs="Times New Roman"/>
          <w:sz w:val="44"/>
          <w:szCs w:val="44"/>
        </w:rPr>
        <w:t>纳溪沟</w:t>
      </w:r>
      <w:r>
        <w:rPr>
          <w:rFonts w:hint="default" w:ascii="Times New Roman" w:hAnsi="Times New Roman" w:eastAsia="方正小标宋_GBK" w:cs="Times New Roman"/>
          <w:sz w:val="44"/>
          <w:szCs w:val="44"/>
          <w:lang w:eastAsia="zh-CN"/>
        </w:rPr>
        <w:t>港重卡</w:t>
      </w:r>
      <w:r>
        <w:rPr>
          <w:rFonts w:hint="default" w:ascii="Times New Roman" w:hAnsi="Times New Roman" w:eastAsia="方正小标宋_GBK" w:cs="Times New Roman"/>
          <w:sz w:val="44"/>
          <w:szCs w:val="44"/>
        </w:rPr>
        <w:t>超充站</w:t>
      </w:r>
      <w:r>
        <w:rPr>
          <w:rFonts w:hint="default" w:ascii="Times New Roman" w:hAnsi="Times New Roman" w:eastAsia="方正小标宋_GBK" w:cs="Times New Roman"/>
          <w:sz w:val="44"/>
          <w:szCs w:val="44"/>
          <w:lang w:eastAsia="zh-CN"/>
        </w:rPr>
        <w:t>优化附属配置询价函</w:t>
      </w:r>
    </w:p>
    <w:p w14:paraId="3AAF497C">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rPr>
      </w:pPr>
      <w:r>
        <w:rPr>
          <w:rFonts w:hint="default" w:ascii="Times New Roman" w:hAnsi="Times New Roman" w:eastAsia="方正仿宋_GBK" w:cs="Times New Roman"/>
          <w:sz w:val="32"/>
          <w:szCs w:val="32"/>
        </w:rPr>
        <w:t>重庆物流集团渝地绿能科技有限公司位于重庆市南岸区纳溪沟超充站，拟调整部分基础设施，现就有关</w:t>
      </w:r>
      <w:r>
        <w:rPr>
          <w:rFonts w:hint="default" w:ascii="Times New Roman" w:hAnsi="Times New Roman" w:eastAsia="方正仿宋_GBK" w:cs="Times New Roman"/>
          <w:sz w:val="32"/>
          <w:szCs w:val="32"/>
          <w:lang w:eastAsia="zh-CN"/>
        </w:rPr>
        <w:t>附属配置优化进行询价，</w:t>
      </w:r>
      <w:r>
        <w:rPr>
          <w:rFonts w:hint="eastAsia" w:ascii="Times New Roman" w:hAnsi="Times New Roman" w:eastAsia="方正仿宋_GBK" w:cs="Times New Roman"/>
          <w:sz w:val="32"/>
          <w:szCs w:val="32"/>
          <w:lang w:eastAsia="zh-CN"/>
        </w:rPr>
        <w:t>请</w:t>
      </w:r>
      <w:r>
        <w:rPr>
          <w:rFonts w:hint="default" w:ascii="Times New Roman" w:hAnsi="Times New Roman" w:eastAsia="方正仿宋_GBK" w:cs="Times New Roman"/>
          <w:sz w:val="32"/>
          <w:szCs w:val="32"/>
        </w:rPr>
        <w:t>有</w:t>
      </w:r>
      <w:r>
        <w:rPr>
          <w:rFonts w:hint="default" w:ascii="Times New Roman" w:hAnsi="Times New Roman" w:eastAsia="方正仿宋_GBK" w:cs="Times New Roman"/>
          <w:sz w:val="32"/>
          <w:szCs w:val="32"/>
          <w:lang w:val="en-US" w:eastAsia="zh-CN"/>
        </w:rPr>
        <w:t>意向</w:t>
      </w:r>
      <w:r>
        <w:rPr>
          <w:rFonts w:hint="default" w:ascii="Times New Roman" w:hAnsi="Times New Roman" w:eastAsia="方正仿宋_GBK" w:cs="Times New Roman"/>
          <w:sz w:val="32"/>
          <w:szCs w:val="32"/>
        </w:rPr>
        <w:t>的</w:t>
      </w:r>
      <w:r>
        <w:rPr>
          <w:rFonts w:hint="eastAsia" w:ascii="Times New Roman" w:hAnsi="Times New Roman" w:eastAsia="方正仿宋_GBK" w:cs="Times New Roman"/>
          <w:sz w:val="32"/>
          <w:szCs w:val="32"/>
          <w:lang w:eastAsia="zh-CN"/>
        </w:rPr>
        <w:t>单位提交报价文件。</w:t>
      </w:r>
      <w:r>
        <w:rPr>
          <w:rFonts w:hint="default" w:ascii="Times New Roman" w:hAnsi="Times New Roman" w:eastAsia="方正仿宋_GBK" w:cs="Times New Roman"/>
          <w:sz w:val="32"/>
          <w:szCs w:val="32"/>
        </w:rPr>
        <w:t>情况详细说明如下：</w:t>
      </w:r>
    </w:p>
    <w:p w14:paraId="39AA0C2D">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黑体_GBK" w:cs="Times New Roman"/>
          <w:sz w:val="32"/>
          <w:szCs w:val="32"/>
          <w:lang w:eastAsia="zh-CN"/>
        </w:rPr>
      </w:pPr>
      <w:r>
        <w:rPr>
          <w:rFonts w:hint="default" w:ascii="Times New Roman" w:hAnsi="Times New Roman" w:eastAsia="方正黑体_GBK" w:cs="Times New Roman"/>
          <w:sz w:val="32"/>
          <w:szCs w:val="32"/>
          <w:lang w:val="en-US" w:eastAsia="zh-CN"/>
        </w:rPr>
        <w:t>一、</w:t>
      </w:r>
      <w:r>
        <w:rPr>
          <w:rFonts w:hint="default" w:ascii="Times New Roman" w:hAnsi="Times New Roman" w:eastAsia="方正黑体_GBK" w:cs="Times New Roman"/>
          <w:sz w:val="32"/>
          <w:szCs w:val="32"/>
        </w:rPr>
        <w:t>充电站地址</w:t>
      </w:r>
      <w:r>
        <w:rPr>
          <w:rFonts w:hint="default" w:ascii="Times New Roman" w:hAnsi="Times New Roman" w:eastAsia="方正黑体_GBK" w:cs="Times New Roman"/>
          <w:sz w:val="32"/>
          <w:szCs w:val="32"/>
          <w:lang w:eastAsia="zh-CN"/>
        </w:rPr>
        <w:t>及项目名称</w:t>
      </w:r>
    </w:p>
    <w:p w14:paraId="56EC2B3E">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rPr>
      </w:pPr>
      <w:r>
        <w:rPr>
          <w:rFonts w:hint="default" w:ascii="Times New Roman" w:hAnsi="Times New Roman" w:eastAsia="方正仿宋_GBK" w:cs="Times New Roman"/>
          <w:sz w:val="32"/>
          <w:szCs w:val="32"/>
          <w:lang w:val="en-US" w:eastAsia="zh-CN"/>
        </w:rPr>
        <w:t>1、地址：</w:t>
      </w:r>
      <w:r>
        <w:rPr>
          <w:rFonts w:hint="default" w:ascii="Times New Roman" w:hAnsi="Times New Roman" w:eastAsia="方正仿宋_GBK" w:cs="Times New Roman"/>
          <w:sz w:val="32"/>
          <w:szCs w:val="32"/>
        </w:rPr>
        <w:t>重庆市南岸区鸡冠石镇纳溪沟村纳溪沟港内</w:t>
      </w:r>
    </w:p>
    <w:p w14:paraId="57A139EE">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t>2、项目名称：纳溪沟港重卡超级充电站优化附属配置</w:t>
      </w:r>
    </w:p>
    <w:p w14:paraId="38EC310B">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rPr>
      </w:pPr>
      <w:r>
        <w:rPr>
          <w:rFonts w:hint="default" w:ascii="Times New Roman" w:hAnsi="Times New Roman" w:eastAsia="方正仿宋_GBK" w:cs="Times New Roman"/>
          <w:sz w:val="32"/>
          <w:szCs w:val="32"/>
        </w:rPr>
        <w:t>（</w:t>
      </w:r>
      <w:r>
        <w:rPr>
          <w:rFonts w:hint="default" w:ascii="Times New Roman" w:hAnsi="Times New Roman" w:eastAsia="方正仿宋_GBK" w:cs="Times New Roman"/>
          <w:sz w:val="32"/>
          <w:szCs w:val="32"/>
          <w:lang w:eastAsia="zh-CN"/>
        </w:rPr>
        <w:t>附件</w:t>
      </w:r>
      <w:r>
        <w:rPr>
          <w:rFonts w:hint="default" w:ascii="Times New Roman" w:hAnsi="Times New Roman" w:eastAsia="方正仿宋_GBK" w:cs="Times New Roman"/>
          <w:sz w:val="32"/>
          <w:szCs w:val="32"/>
          <w:lang w:val="en-US" w:eastAsia="zh-CN"/>
        </w:rPr>
        <w:t>1</w:t>
      </w:r>
      <w:r>
        <w:rPr>
          <w:rFonts w:hint="default" w:ascii="Times New Roman" w:hAnsi="Times New Roman" w:eastAsia="方正仿宋_GBK" w:cs="Times New Roman"/>
          <w:sz w:val="32"/>
          <w:szCs w:val="32"/>
        </w:rPr>
        <w:t>）</w:t>
      </w:r>
    </w:p>
    <w:p w14:paraId="4DCD8915">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黑体_GBK" w:cs="Times New Roman"/>
          <w:sz w:val="32"/>
          <w:szCs w:val="32"/>
          <w:lang w:val="en-US" w:eastAsia="zh-CN"/>
        </w:rPr>
      </w:pPr>
      <w:r>
        <w:rPr>
          <w:rFonts w:hint="default" w:ascii="Times New Roman" w:hAnsi="Times New Roman" w:eastAsia="方正黑体_GBK" w:cs="Times New Roman"/>
          <w:sz w:val="32"/>
          <w:szCs w:val="32"/>
          <w:lang w:val="en-US" w:eastAsia="zh-CN"/>
        </w:rPr>
        <w:t>二、工程内容</w:t>
      </w:r>
    </w:p>
    <w:p w14:paraId="5F42E451">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楷体_GBK" w:cs="Times New Roman"/>
          <w:sz w:val="32"/>
          <w:szCs w:val="32"/>
        </w:rPr>
      </w:pPr>
      <w:r>
        <w:rPr>
          <w:rFonts w:hint="default" w:ascii="Times New Roman" w:hAnsi="Times New Roman" w:eastAsia="方正楷体_GBK" w:cs="Times New Roman"/>
          <w:sz w:val="32"/>
          <w:szCs w:val="32"/>
          <w:lang w:eastAsia="zh-CN"/>
        </w:rPr>
        <w:t>（</w:t>
      </w:r>
      <w:r>
        <w:rPr>
          <w:rFonts w:hint="default" w:ascii="Times New Roman" w:hAnsi="Times New Roman" w:eastAsia="方正楷体_GBK" w:cs="Times New Roman"/>
          <w:sz w:val="32"/>
          <w:szCs w:val="32"/>
          <w:lang w:val="en-US" w:eastAsia="zh-CN"/>
        </w:rPr>
        <w:t>一</w:t>
      </w:r>
      <w:r>
        <w:rPr>
          <w:rFonts w:hint="default" w:ascii="Times New Roman" w:hAnsi="Times New Roman" w:eastAsia="方正楷体_GBK" w:cs="Times New Roman"/>
          <w:sz w:val="32"/>
          <w:szCs w:val="32"/>
          <w:lang w:eastAsia="zh-CN"/>
        </w:rPr>
        <w:t>）</w:t>
      </w:r>
      <w:r>
        <w:rPr>
          <w:rFonts w:hint="default" w:ascii="Times New Roman" w:hAnsi="Times New Roman" w:eastAsia="方正楷体_GBK" w:cs="Times New Roman"/>
          <w:sz w:val="32"/>
          <w:szCs w:val="32"/>
        </w:rPr>
        <w:t>新增充电站出口</w:t>
      </w:r>
    </w:p>
    <w:p w14:paraId="300D97A5">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rPr>
      </w:pPr>
      <w:r>
        <w:rPr>
          <w:rFonts w:hint="default" w:ascii="Times New Roman" w:hAnsi="Times New Roman" w:eastAsia="方正仿宋_GBK" w:cs="Times New Roman"/>
          <w:sz w:val="32"/>
          <w:szCs w:val="32"/>
          <w:lang w:val="en-US" w:eastAsia="zh-CN"/>
        </w:rPr>
        <w:t>1、</w:t>
      </w:r>
      <w:r>
        <w:rPr>
          <w:rFonts w:hint="default" w:ascii="Times New Roman" w:hAnsi="Times New Roman" w:eastAsia="方正仿宋_GBK" w:cs="Times New Roman"/>
          <w:sz w:val="32"/>
          <w:szCs w:val="32"/>
        </w:rPr>
        <w:t>现状图</w:t>
      </w:r>
      <w:r>
        <w:rPr>
          <w:rFonts w:hint="default" w:ascii="Times New Roman" w:hAnsi="Times New Roman" w:eastAsia="方正仿宋_GBK" w:cs="Times New Roman"/>
          <w:sz w:val="32"/>
          <w:szCs w:val="32"/>
          <w:lang w:eastAsia="zh-CN"/>
        </w:rPr>
        <w:t>（附件</w:t>
      </w:r>
      <w:r>
        <w:rPr>
          <w:rFonts w:hint="default" w:ascii="Times New Roman" w:hAnsi="Times New Roman" w:eastAsia="方正仿宋_GBK" w:cs="Times New Roman"/>
          <w:sz w:val="32"/>
          <w:szCs w:val="32"/>
          <w:lang w:val="en-US" w:eastAsia="zh-CN"/>
        </w:rPr>
        <w:t>1</w:t>
      </w: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rPr>
        <w:t>效果图</w:t>
      </w:r>
      <w:r>
        <w:rPr>
          <w:rFonts w:hint="default" w:ascii="Times New Roman" w:hAnsi="Times New Roman" w:eastAsia="方正仿宋_GBK" w:cs="Times New Roman"/>
          <w:sz w:val="32"/>
          <w:szCs w:val="32"/>
          <w:lang w:eastAsia="zh-CN"/>
        </w:rPr>
        <w:t>（附件</w:t>
      </w:r>
      <w:r>
        <w:rPr>
          <w:rFonts w:hint="default" w:ascii="Times New Roman" w:hAnsi="Times New Roman" w:eastAsia="方正仿宋_GBK" w:cs="Times New Roman"/>
          <w:sz w:val="32"/>
          <w:szCs w:val="32"/>
          <w:lang w:val="en-US" w:eastAsia="zh-CN"/>
        </w:rPr>
        <w:t>2</w:t>
      </w:r>
      <w:r>
        <w:rPr>
          <w:rFonts w:hint="default" w:ascii="Times New Roman" w:hAnsi="Times New Roman" w:eastAsia="方正仿宋_GBK" w:cs="Times New Roman"/>
          <w:sz w:val="32"/>
          <w:szCs w:val="32"/>
          <w:lang w:eastAsia="zh-CN"/>
        </w:rPr>
        <w:t>）</w:t>
      </w:r>
    </w:p>
    <w:p w14:paraId="3AB3BC5A">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rPr>
      </w:pPr>
      <w:r>
        <w:rPr>
          <w:rFonts w:hint="default" w:ascii="Times New Roman" w:hAnsi="Times New Roman" w:eastAsia="方正仿宋_GBK" w:cs="Times New Roman"/>
          <w:sz w:val="32"/>
          <w:szCs w:val="32"/>
          <w:lang w:val="en-US" w:eastAsia="zh-CN"/>
        </w:rPr>
        <w:t>2、</w:t>
      </w:r>
      <w:r>
        <w:rPr>
          <w:rFonts w:hint="default" w:ascii="Times New Roman" w:hAnsi="Times New Roman" w:eastAsia="方正仿宋_GBK" w:cs="Times New Roman"/>
          <w:sz w:val="32"/>
          <w:szCs w:val="32"/>
        </w:rPr>
        <w:t>工程量说明</w:t>
      </w:r>
    </w:p>
    <w:p w14:paraId="26590D50">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rPr>
      </w:pP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lang w:val="en-US" w:eastAsia="zh-CN"/>
        </w:rPr>
        <w:t>1</w:t>
      </w: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rPr>
        <w:t>开口宽度：11M</w:t>
      </w:r>
    </w:p>
    <w:p w14:paraId="78FA4760">
      <w:pPr>
        <w:keepNext w:val="0"/>
        <w:keepLines w:val="0"/>
        <w:pageBreakBefore w:val="0"/>
        <w:widowControl w:val="0"/>
        <w:kinsoku/>
        <w:wordWrap/>
        <w:overflowPunct/>
        <w:topLinePunct w:val="0"/>
        <w:autoSpaceDE/>
        <w:autoSpaceDN/>
        <w:bidi w:val="0"/>
        <w:adjustRightInd/>
        <w:snapToGrid/>
        <w:spacing w:line="594" w:lineRule="exact"/>
        <w:ind w:left="638" w:leftChars="304" w:firstLine="0" w:firstLineChars="0"/>
        <w:textAlignment w:val="auto"/>
        <w:rPr>
          <w:rFonts w:hint="default" w:ascii="Times New Roman" w:hAnsi="Times New Roman" w:eastAsia="方正仿宋_GBK" w:cs="Times New Roman"/>
          <w:sz w:val="32"/>
          <w:szCs w:val="32"/>
        </w:rPr>
      </w:pP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lang w:val="en-US" w:eastAsia="zh-CN"/>
        </w:rPr>
        <w:t>2</w:t>
      </w: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rPr>
        <w:t>填埋线缆：对现有</w:t>
      </w:r>
      <w:r>
        <w:rPr>
          <w:rFonts w:hint="default" w:ascii="Times New Roman" w:hAnsi="Times New Roman" w:eastAsia="方正仿宋_GBK" w:cs="Times New Roman"/>
          <w:sz w:val="32"/>
          <w:szCs w:val="32"/>
          <w:lang w:val="en-US" w:eastAsia="zh-CN"/>
        </w:rPr>
        <w:t>围墙上</w:t>
      </w:r>
      <w:r>
        <w:rPr>
          <w:rFonts w:hint="default" w:ascii="Times New Roman" w:hAnsi="Times New Roman" w:eastAsia="方正仿宋_GBK" w:cs="Times New Roman"/>
          <w:sz w:val="32"/>
          <w:szCs w:val="32"/>
        </w:rPr>
        <w:t>线缆挖沟下沉套管回填，</w:t>
      </w:r>
    </w:p>
    <w:p w14:paraId="0903E5B0">
      <w:pPr>
        <w:keepNext w:val="0"/>
        <w:keepLines w:val="0"/>
        <w:pageBreakBefore w:val="0"/>
        <w:widowControl w:val="0"/>
        <w:kinsoku/>
        <w:wordWrap/>
        <w:overflowPunct/>
        <w:topLinePunct w:val="0"/>
        <w:autoSpaceDE/>
        <w:autoSpaceDN/>
        <w:bidi w:val="0"/>
        <w:adjustRightInd/>
        <w:snapToGrid/>
        <w:spacing w:line="594" w:lineRule="exact"/>
        <w:textAlignment w:val="auto"/>
        <w:rPr>
          <w:rFonts w:hint="default" w:ascii="Times New Roman" w:hAnsi="Times New Roman" w:eastAsia="方正仿宋_GBK" w:cs="Times New Roman"/>
          <w:sz w:val="32"/>
          <w:szCs w:val="32"/>
        </w:rPr>
      </w:pPr>
      <w:r>
        <w:rPr>
          <w:rFonts w:hint="default" w:ascii="Times New Roman" w:hAnsi="Times New Roman" w:eastAsia="方正仿宋_GBK" w:cs="Times New Roman"/>
          <w:sz w:val="32"/>
          <w:szCs w:val="32"/>
        </w:rPr>
        <w:t>结合预留检查井每个约400mm*400mm</w:t>
      </w:r>
    </w:p>
    <w:p w14:paraId="57D2267F">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rPr>
      </w:pP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lang w:val="en-US" w:eastAsia="zh-CN"/>
        </w:rPr>
        <w:t>3</w:t>
      </w: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rPr>
        <w:t>对开口段场内地面与主公路间地面加固加厚，可保障50T以上车辆长期正常通行（</w:t>
      </w:r>
      <w:r>
        <w:rPr>
          <w:rFonts w:hint="default" w:ascii="Times New Roman" w:hAnsi="Times New Roman" w:eastAsia="方正仿宋_GBK" w:cs="Times New Roman"/>
          <w:sz w:val="32"/>
          <w:szCs w:val="32"/>
          <w:lang w:eastAsia="zh-CN"/>
        </w:rPr>
        <w:t>钢筋加固后</w:t>
      </w:r>
      <w:r>
        <w:rPr>
          <w:rFonts w:hint="default" w:ascii="Times New Roman" w:hAnsi="Times New Roman" w:eastAsia="方正仿宋_GBK" w:cs="Times New Roman"/>
          <w:sz w:val="32"/>
          <w:szCs w:val="32"/>
          <w:lang w:val="en-US" w:eastAsia="zh-CN"/>
        </w:rPr>
        <w:t>C30混泥土浇筑</w:t>
      </w:r>
      <w:r>
        <w:rPr>
          <w:rFonts w:hint="default" w:ascii="Times New Roman" w:hAnsi="Times New Roman" w:eastAsia="方正仿宋_GBK" w:cs="Times New Roman"/>
          <w:sz w:val="32"/>
          <w:szCs w:val="32"/>
        </w:rPr>
        <w:t>）</w:t>
      </w:r>
    </w:p>
    <w:p w14:paraId="723702F5">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rPr>
      </w:pP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lang w:val="en-US" w:eastAsia="zh-CN"/>
        </w:rPr>
        <w:t>4</w:t>
      </w: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rPr>
        <w:t>预留出口道闸电力线管、通信线管（出口道闸线路走至管理房）</w:t>
      </w:r>
    </w:p>
    <w:p w14:paraId="3D2D8AC3">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楷体_GBK" w:cs="Times New Roman"/>
          <w:sz w:val="32"/>
          <w:szCs w:val="32"/>
          <w:lang w:val="en-US" w:eastAsia="zh-CN"/>
        </w:rPr>
      </w:pPr>
      <w:r>
        <w:rPr>
          <w:rFonts w:hint="default" w:ascii="Times New Roman" w:hAnsi="Times New Roman" w:eastAsia="方正楷体_GBK" w:cs="Times New Roman"/>
          <w:sz w:val="32"/>
          <w:szCs w:val="32"/>
          <w:lang w:val="en-US" w:eastAsia="zh-CN"/>
        </w:rPr>
        <w:t>（二）充电站外墙拆除与花台、防护栏安装</w:t>
      </w:r>
    </w:p>
    <w:p w14:paraId="5B6F387E">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lang w:eastAsia="zh-CN"/>
        </w:rPr>
      </w:pPr>
      <w:r>
        <w:rPr>
          <w:rFonts w:hint="default" w:ascii="Times New Roman" w:hAnsi="Times New Roman" w:eastAsia="方正仿宋_GBK" w:cs="Times New Roman"/>
          <w:sz w:val="32"/>
          <w:szCs w:val="32"/>
          <w:lang w:val="en-US" w:eastAsia="zh-CN"/>
        </w:rPr>
        <w:t>1、</w:t>
      </w:r>
      <w:r>
        <w:rPr>
          <w:rFonts w:hint="default" w:ascii="Times New Roman" w:hAnsi="Times New Roman" w:eastAsia="方正仿宋_GBK" w:cs="Times New Roman"/>
          <w:sz w:val="32"/>
          <w:szCs w:val="32"/>
        </w:rPr>
        <w:t>现状图</w:t>
      </w:r>
      <w:r>
        <w:rPr>
          <w:rFonts w:hint="default" w:ascii="Times New Roman" w:hAnsi="Times New Roman" w:eastAsia="方正仿宋_GBK" w:cs="Times New Roman"/>
          <w:sz w:val="32"/>
          <w:szCs w:val="32"/>
          <w:lang w:eastAsia="zh-CN"/>
        </w:rPr>
        <w:t>（附件</w:t>
      </w:r>
      <w:r>
        <w:rPr>
          <w:rFonts w:hint="default" w:ascii="Times New Roman" w:hAnsi="Times New Roman" w:eastAsia="方正仿宋_GBK" w:cs="Times New Roman"/>
          <w:sz w:val="32"/>
          <w:szCs w:val="32"/>
          <w:lang w:val="en-US" w:eastAsia="zh-CN"/>
        </w:rPr>
        <w:t>3</w:t>
      </w: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rPr>
        <w:t>效果图</w:t>
      </w:r>
      <w:r>
        <w:rPr>
          <w:rFonts w:hint="default" w:ascii="Times New Roman" w:hAnsi="Times New Roman" w:eastAsia="方正仿宋_GBK" w:cs="Times New Roman"/>
          <w:sz w:val="32"/>
          <w:szCs w:val="32"/>
          <w:lang w:eastAsia="zh-CN"/>
        </w:rPr>
        <w:t>（附件</w:t>
      </w:r>
      <w:r>
        <w:rPr>
          <w:rFonts w:hint="default" w:ascii="Times New Roman" w:hAnsi="Times New Roman" w:eastAsia="方正仿宋_GBK" w:cs="Times New Roman"/>
          <w:sz w:val="32"/>
          <w:szCs w:val="32"/>
          <w:lang w:val="en-US" w:eastAsia="zh-CN"/>
        </w:rPr>
        <w:t>2</w:t>
      </w:r>
      <w:r>
        <w:rPr>
          <w:rFonts w:hint="default" w:ascii="Times New Roman" w:hAnsi="Times New Roman" w:eastAsia="方正仿宋_GBK" w:cs="Times New Roman"/>
          <w:sz w:val="32"/>
          <w:szCs w:val="32"/>
          <w:lang w:eastAsia="zh-CN"/>
        </w:rPr>
        <w:t>）</w:t>
      </w:r>
    </w:p>
    <w:p w14:paraId="194C8B7C">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rPr>
      </w:pPr>
      <w:r>
        <w:rPr>
          <w:rFonts w:hint="default" w:ascii="Times New Roman" w:hAnsi="Times New Roman" w:eastAsia="方正仿宋_GBK" w:cs="Times New Roman"/>
          <w:sz w:val="32"/>
          <w:szCs w:val="32"/>
          <w:lang w:val="en-US" w:eastAsia="zh-CN"/>
        </w:rPr>
        <w:t>2、</w:t>
      </w:r>
      <w:r>
        <w:rPr>
          <w:rFonts w:hint="default" w:ascii="Times New Roman" w:hAnsi="Times New Roman" w:eastAsia="方正仿宋_GBK" w:cs="Times New Roman"/>
          <w:sz w:val="32"/>
          <w:szCs w:val="32"/>
        </w:rPr>
        <w:t>工程量说明</w:t>
      </w:r>
    </w:p>
    <w:p w14:paraId="3645FEBB">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eastAsia" w:ascii="Times New Roman" w:hAnsi="Times New Roman" w:eastAsia="方正仿宋_GBK" w:cs="Times New Roman"/>
          <w:sz w:val="32"/>
          <w:szCs w:val="32"/>
          <w:lang w:eastAsia="zh-CN"/>
        </w:rPr>
      </w:pP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lang w:val="en-US" w:eastAsia="zh-CN"/>
        </w:rPr>
        <w:t>1</w:t>
      </w: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rPr>
        <w:t>拆除原外侧围墙并清运出渣，长度100M（含开口处原围墙）</w:t>
      </w:r>
      <w:r>
        <w:rPr>
          <w:rFonts w:hint="eastAsia" w:ascii="Times New Roman" w:hAnsi="Times New Roman" w:eastAsia="方正仿宋_GBK" w:cs="Times New Roman"/>
          <w:sz w:val="32"/>
          <w:szCs w:val="32"/>
          <w:lang w:eastAsia="zh-CN"/>
        </w:rPr>
        <w:t>。</w:t>
      </w:r>
    </w:p>
    <w:p w14:paraId="73D7DBDD">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eastAsia" w:ascii="Times New Roman" w:hAnsi="Times New Roman" w:eastAsia="方正仿宋_GBK" w:cs="Times New Roman"/>
          <w:sz w:val="32"/>
          <w:szCs w:val="32"/>
          <w:lang w:eastAsia="zh-CN"/>
        </w:rPr>
      </w:pP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lang w:val="en-US" w:eastAsia="zh-CN"/>
        </w:rPr>
        <w:t>2</w:t>
      </w: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rPr>
        <w:t>填埋线缆：对现有线缆挖沟下沉套管回填，合理间距（约50M）预留检查井同上</w:t>
      </w:r>
      <w:r>
        <w:rPr>
          <w:rFonts w:hint="eastAsia" w:ascii="Times New Roman" w:hAnsi="Times New Roman" w:eastAsia="方正仿宋_GBK" w:cs="Times New Roman"/>
          <w:sz w:val="32"/>
          <w:szCs w:val="32"/>
          <w:lang w:eastAsia="zh-CN"/>
        </w:rPr>
        <w:t>。</w:t>
      </w:r>
    </w:p>
    <w:p w14:paraId="789C023E">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eastAsia" w:ascii="Times New Roman" w:hAnsi="Times New Roman" w:eastAsia="方正仿宋_GBK" w:cs="Times New Roman"/>
          <w:sz w:val="32"/>
          <w:szCs w:val="32"/>
          <w:lang w:eastAsia="zh-CN"/>
        </w:rPr>
      </w:pP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lang w:val="en-US" w:eastAsia="zh-CN"/>
        </w:rPr>
        <w:t>3</w:t>
      </w: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rPr>
        <w:t>预留出口道闸电力线管、通信线管（出口道闸线路走至管理房）</w:t>
      </w:r>
      <w:r>
        <w:rPr>
          <w:rFonts w:hint="eastAsia" w:ascii="Times New Roman" w:hAnsi="Times New Roman" w:eastAsia="方正仿宋_GBK" w:cs="Times New Roman"/>
          <w:sz w:val="32"/>
          <w:szCs w:val="32"/>
          <w:lang w:eastAsia="zh-CN"/>
        </w:rPr>
        <w:t>。</w:t>
      </w:r>
    </w:p>
    <w:p w14:paraId="4C4AE81D">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eastAsia" w:ascii="Times New Roman" w:hAnsi="Times New Roman" w:eastAsia="方正仿宋_GBK" w:cs="Times New Roman"/>
          <w:sz w:val="32"/>
          <w:szCs w:val="32"/>
          <w:lang w:eastAsia="zh-CN"/>
        </w:rPr>
      </w:pP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lang w:val="en-US" w:eastAsia="zh-CN"/>
        </w:rPr>
        <w:t>4</w:t>
      </w: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rPr>
        <w:t>预埋充电站用水市政供水管（以最终确定的市政接入点为准）</w:t>
      </w:r>
      <w:r>
        <w:rPr>
          <w:rFonts w:hint="eastAsia" w:ascii="Times New Roman" w:hAnsi="Times New Roman" w:eastAsia="方正仿宋_GBK" w:cs="Times New Roman"/>
          <w:sz w:val="32"/>
          <w:szCs w:val="32"/>
          <w:lang w:eastAsia="zh-CN"/>
        </w:rPr>
        <w:t>。</w:t>
      </w:r>
    </w:p>
    <w:p w14:paraId="6000F23F">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eastAsia" w:ascii="Times New Roman" w:hAnsi="Times New Roman" w:eastAsia="方正仿宋_GBK" w:cs="Times New Roman"/>
          <w:sz w:val="32"/>
          <w:szCs w:val="32"/>
          <w:lang w:eastAsia="zh-CN"/>
        </w:rPr>
      </w:pP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lang w:val="en-US" w:eastAsia="zh-CN"/>
        </w:rPr>
        <w:t>5</w:t>
      </w: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rPr>
        <w:t>沿原外墙位置砖砌花台（砖例旧或新增不限制），外作业面高600mm*长3000mm*宽600mm共15个（起止于充电站出入口，合理间隔），外侧四周及顶面抹灰、水泥刷浆、回填泥土、种植普通常绿灌木</w:t>
      </w:r>
      <w:r>
        <w:rPr>
          <w:rFonts w:hint="eastAsia" w:ascii="Times New Roman" w:hAnsi="Times New Roman" w:eastAsia="方正仿宋_GBK" w:cs="Times New Roman"/>
          <w:sz w:val="32"/>
          <w:szCs w:val="32"/>
          <w:lang w:eastAsia="zh-CN"/>
        </w:rPr>
        <w:t>。</w:t>
      </w:r>
    </w:p>
    <w:p w14:paraId="09E5BA97">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eastAsia" w:ascii="Times New Roman" w:hAnsi="Times New Roman" w:eastAsia="方正仿宋_GBK" w:cs="Times New Roman"/>
          <w:sz w:val="32"/>
          <w:szCs w:val="32"/>
          <w:lang w:eastAsia="zh-CN"/>
        </w:rPr>
      </w:pP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lang w:val="en-US" w:eastAsia="zh-CN"/>
        </w:rPr>
        <w:t>6</w:t>
      </w: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rPr>
        <w:t>将（三）拆除的防护栏安装到花台外侧，共90M（起止于充电站出入口）,合理加固</w:t>
      </w:r>
      <w:r>
        <w:rPr>
          <w:rFonts w:hint="eastAsia" w:ascii="Times New Roman" w:hAnsi="Times New Roman" w:eastAsia="方正仿宋_GBK" w:cs="Times New Roman"/>
          <w:sz w:val="32"/>
          <w:szCs w:val="32"/>
          <w:lang w:eastAsia="zh-CN"/>
        </w:rPr>
        <w:t>。</w:t>
      </w:r>
    </w:p>
    <w:p w14:paraId="0FE40F5A">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楷体_GBK" w:cs="Times New Roman"/>
          <w:sz w:val="32"/>
          <w:szCs w:val="32"/>
          <w:lang w:val="en-US" w:eastAsia="zh-CN"/>
        </w:rPr>
      </w:pPr>
      <w:r>
        <w:rPr>
          <w:rFonts w:hint="default" w:ascii="Times New Roman" w:hAnsi="Times New Roman" w:eastAsia="方正楷体_GBK" w:cs="Times New Roman"/>
          <w:sz w:val="32"/>
          <w:szCs w:val="32"/>
          <w:lang w:val="en-US" w:eastAsia="zh-CN"/>
        </w:rPr>
        <w:t>（三）原防护栏拆除及施工围挡安装（参考港区内围挡）</w:t>
      </w:r>
    </w:p>
    <w:p w14:paraId="575D2C6F">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rPr>
      </w:pPr>
      <w:r>
        <w:rPr>
          <w:rFonts w:hint="default" w:ascii="Times New Roman" w:hAnsi="Times New Roman" w:eastAsia="方正仿宋_GBK" w:cs="Times New Roman"/>
          <w:sz w:val="32"/>
          <w:szCs w:val="32"/>
          <w:lang w:val="en-US" w:eastAsia="zh-CN"/>
        </w:rPr>
        <w:t>1、</w:t>
      </w:r>
      <w:r>
        <w:rPr>
          <w:rFonts w:hint="default" w:ascii="Times New Roman" w:hAnsi="Times New Roman" w:eastAsia="方正仿宋_GBK" w:cs="Times New Roman"/>
          <w:sz w:val="32"/>
          <w:szCs w:val="32"/>
        </w:rPr>
        <w:t>现状图</w:t>
      </w:r>
      <w:r>
        <w:rPr>
          <w:rFonts w:hint="default" w:ascii="Times New Roman" w:hAnsi="Times New Roman" w:eastAsia="方正仿宋_GBK" w:cs="Times New Roman"/>
          <w:sz w:val="32"/>
          <w:szCs w:val="32"/>
          <w:lang w:eastAsia="zh-CN"/>
        </w:rPr>
        <w:t>（附件</w:t>
      </w:r>
      <w:r>
        <w:rPr>
          <w:rFonts w:hint="default" w:ascii="Times New Roman" w:hAnsi="Times New Roman" w:eastAsia="方正仿宋_GBK" w:cs="Times New Roman"/>
          <w:sz w:val="32"/>
          <w:szCs w:val="32"/>
          <w:lang w:val="en-US" w:eastAsia="zh-CN"/>
        </w:rPr>
        <w:t>4</w:t>
      </w: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rPr>
        <w:t>效果图</w:t>
      </w:r>
      <w:r>
        <w:rPr>
          <w:rFonts w:hint="default" w:ascii="Times New Roman" w:hAnsi="Times New Roman" w:eastAsia="方正仿宋_GBK" w:cs="Times New Roman"/>
          <w:sz w:val="32"/>
          <w:szCs w:val="32"/>
          <w:lang w:eastAsia="zh-CN"/>
        </w:rPr>
        <w:t>（附件</w:t>
      </w:r>
      <w:r>
        <w:rPr>
          <w:rFonts w:hint="default" w:ascii="Times New Roman" w:hAnsi="Times New Roman" w:eastAsia="方正仿宋_GBK" w:cs="Times New Roman"/>
          <w:sz w:val="32"/>
          <w:szCs w:val="32"/>
          <w:lang w:val="en-US" w:eastAsia="zh-CN"/>
        </w:rPr>
        <w:t>2</w:t>
      </w:r>
      <w:r>
        <w:rPr>
          <w:rFonts w:hint="default" w:ascii="Times New Roman" w:hAnsi="Times New Roman" w:eastAsia="方正仿宋_GBK" w:cs="Times New Roman"/>
          <w:sz w:val="32"/>
          <w:szCs w:val="32"/>
          <w:lang w:eastAsia="zh-CN"/>
        </w:rPr>
        <w:t>）</w:t>
      </w:r>
    </w:p>
    <w:p w14:paraId="6D5723B5">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rPr>
      </w:pPr>
      <w:r>
        <w:rPr>
          <w:rFonts w:hint="default" w:ascii="Times New Roman" w:hAnsi="Times New Roman" w:eastAsia="方正仿宋_GBK" w:cs="Times New Roman"/>
          <w:sz w:val="32"/>
          <w:szCs w:val="32"/>
          <w:lang w:val="en-US" w:eastAsia="zh-CN"/>
        </w:rPr>
        <w:t>2、</w:t>
      </w:r>
      <w:r>
        <w:rPr>
          <w:rFonts w:hint="default" w:ascii="Times New Roman" w:hAnsi="Times New Roman" w:eastAsia="方正仿宋_GBK" w:cs="Times New Roman"/>
          <w:sz w:val="32"/>
          <w:szCs w:val="32"/>
        </w:rPr>
        <w:t>工程量说明</w:t>
      </w:r>
    </w:p>
    <w:p w14:paraId="0A05D189">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eastAsia" w:ascii="Times New Roman" w:hAnsi="Times New Roman" w:eastAsia="方正仿宋_GBK" w:cs="Times New Roman"/>
          <w:sz w:val="32"/>
          <w:szCs w:val="32"/>
          <w:lang w:eastAsia="zh-CN"/>
        </w:rPr>
      </w:pP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lang w:val="en-US" w:eastAsia="zh-CN"/>
        </w:rPr>
        <w:t>1</w:t>
      </w: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rPr>
        <w:t>将原防护栏约102M全部拆除用于工程（二）</w:t>
      </w:r>
      <w:r>
        <w:rPr>
          <w:rFonts w:hint="eastAsia" w:ascii="Times New Roman" w:hAnsi="Times New Roman" w:eastAsia="方正仿宋_GBK" w:cs="Times New Roman"/>
          <w:sz w:val="32"/>
          <w:szCs w:val="32"/>
          <w:lang w:eastAsia="zh-CN"/>
        </w:rPr>
        <w:t>。</w:t>
      </w:r>
    </w:p>
    <w:p w14:paraId="57DD9E24">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eastAsia" w:ascii="Times New Roman" w:hAnsi="Times New Roman" w:eastAsia="方正仿宋_GBK" w:cs="Times New Roman"/>
          <w:sz w:val="32"/>
          <w:szCs w:val="32"/>
          <w:lang w:eastAsia="zh-CN"/>
        </w:rPr>
      </w:pP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lang w:val="en-US" w:eastAsia="zh-CN"/>
        </w:rPr>
        <w:t>2</w:t>
      </w: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rPr>
        <w:t>将原防护栏位置安装施工围挡，围挡高于人行步道1</w:t>
      </w:r>
      <w:r>
        <w:rPr>
          <w:rFonts w:hint="default" w:ascii="Times New Roman" w:hAnsi="Times New Roman" w:eastAsia="方正仿宋_GBK" w:cs="Times New Roman"/>
          <w:sz w:val="32"/>
          <w:szCs w:val="32"/>
          <w:lang w:val="en-US" w:eastAsia="zh-CN"/>
        </w:rPr>
        <w:t>6</w:t>
      </w:r>
      <w:r>
        <w:rPr>
          <w:rFonts w:hint="default" w:ascii="Times New Roman" w:hAnsi="Times New Roman" w:eastAsia="方正仿宋_GBK" w:cs="Times New Roman"/>
          <w:sz w:val="32"/>
          <w:szCs w:val="32"/>
        </w:rPr>
        <w:t>0CM，固定在防撞墩外侧上并结合外侧坡面合理加固（关注江边风力）</w:t>
      </w:r>
      <w:r>
        <w:rPr>
          <w:rFonts w:hint="eastAsia" w:ascii="Times New Roman" w:hAnsi="Times New Roman" w:eastAsia="方正仿宋_GBK" w:cs="Times New Roman"/>
          <w:sz w:val="32"/>
          <w:szCs w:val="32"/>
          <w:lang w:eastAsia="zh-CN"/>
        </w:rPr>
        <w:t>。</w:t>
      </w:r>
    </w:p>
    <w:p w14:paraId="5808B183">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eastAsia" w:ascii="Times New Roman" w:hAnsi="Times New Roman" w:eastAsia="方正仿宋_GBK" w:cs="Times New Roman"/>
          <w:sz w:val="32"/>
          <w:szCs w:val="32"/>
          <w:lang w:eastAsia="zh-CN"/>
        </w:rPr>
      </w:pP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lang w:val="en-US" w:eastAsia="zh-CN"/>
        </w:rPr>
        <w:t>3</w:t>
      </w: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rPr>
        <w:t>将充电站与码头作业区使用施工围挡隔离，约20M</w:t>
      </w:r>
      <w:r>
        <w:rPr>
          <w:rFonts w:hint="eastAsia" w:ascii="Times New Roman" w:hAnsi="Times New Roman" w:eastAsia="方正仿宋_GBK" w:cs="Times New Roman"/>
          <w:sz w:val="32"/>
          <w:szCs w:val="32"/>
          <w:lang w:eastAsia="zh-CN"/>
        </w:rPr>
        <w:t>。</w:t>
      </w:r>
    </w:p>
    <w:p w14:paraId="3D545961">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楷体_GBK" w:cs="Times New Roman"/>
          <w:sz w:val="32"/>
          <w:szCs w:val="32"/>
          <w:lang w:val="en-US" w:eastAsia="zh-CN"/>
        </w:rPr>
      </w:pPr>
      <w:r>
        <w:rPr>
          <w:rFonts w:hint="default" w:ascii="Times New Roman" w:hAnsi="Times New Roman" w:eastAsia="方正楷体_GBK" w:cs="Times New Roman"/>
          <w:sz w:val="32"/>
          <w:szCs w:val="32"/>
          <w:lang w:val="en-US" w:eastAsia="zh-CN"/>
        </w:rPr>
        <w:t>（四）排污管道安装</w:t>
      </w:r>
    </w:p>
    <w:p w14:paraId="3D205A63">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rPr>
      </w:pPr>
      <w:r>
        <w:rPr>
          <w:rFonts w:hint="default" w:ascii="Times New Roman" w:hAnsi="Times New Roman" w:eastAsia="方正仿宋_GBK" w:cs="Times New Roman"/>
          <w:sz w:val="32"/>
          <w:szCs w:val="32"/>
          <w:lang w:val="en-US" w:eastAsia="zh-CN"/>
        </w:rPr>
        <w:t>1、</w:t>
      </w:r>
      <w:r>
        <w:rPr>
          <w:rFonts w:hint="default" w:ascii="Times New Roman" w:hAnsi="Times New Roman" w:eastAsia="方正仿宋_GBK" w:cs="Times New Roman"/>
          <w:sz w:val="32"/>
          <w:szCs w:val="32"/>
        </w:rPr>
        <w:t>现状图</w:t>
      </w:r>
      <w:r>
        <w:rPr>
          <w:rFonts w:hint="default" w:ascii="Times New Roman" w:hAnsi="Times New Roman" w:eastAsia="方正仿宋_GBK" w:cs="Times New Roman"/>
          <w:sz w:val="32"/>
          <w:szCs w:val="32"/>
          <w:lang w:eastAsia="zh-CN"/>
        </w:rPr>
        <w:t>（附件</w:t>
      </w:r>
      <w:r>
        <w:rPr>
          <w:rFonts w:hint="default" w:ascii="Times New Roman" w:hAnsi="Times New Roman" w:eastAsia="方正仿宋_GBK" w:cs="Times New Roman"/>
          <w:sz w:val="32"/>
          <w:szCs w:val="32"/>
          <w:lang w:val="en-US" w:eastAsia="zh-CN"/>
        </w:rPr>
        <w:t>5</w:t>
      </w:r>
      <w:r>
        <w:rPr>
          <w:rFonts w:hint="default" w:ascii="Times New Roman" w:hAnsi="Times New Roman" w:eastAsia="方正仿宋_GBK" w:cs="Times New Roman"/>
          <w:sz w:val="32"/>
          <w:szCs w:val="32"/>
          <w:lang w:eastAsia="zh-CN"/>
        </w:rPr>
        <w:t>）</w:t>
      </w:r>
    </w:p>
    <w:p w14:paraId="06B768F8">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rPr>
      </w:pPr>
      <w:r>
        <w:rPr>
          <w:rFonts w:hint="default" w:ascii="Times New Roman" w:hAnsi="Times New Roman" w:eastAsia="方正仿宋_GBK" w:cs="Times New Roman"/>
          <w:sz w:val="32"/>
          <w:szCs w:val="32"/>
          <w:lang w:val="en-US" w:eastAsia="zh-CN"/>
        </w:rPr>
        <w:t>2、</w:t>
      </w:r>
      <w:r>
        <w:rPr>
          <w:rFonts w:hint="default" w:ascii="Times New Roman" w:hAnsi="Times New Roman" w:eastAsia="方正仿宋_GBK" w:cs="Times New Roman"/>
          <w:sz w:val="32"/>
          <w:szCs w:val="32"/>
        </w:rPr>
        <w:t>工程量说明</w:t>
      </w:r>
    </w:p>
    <w:p w14:paraId="3DC2D748">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eastAsia" w:ascii="Times New Roman" w:hAnsi="Times New Roman" w:eastAsia="方正仿宋_GBK" w:cs="Times New Roman"/>
          <w:sz w:val="32"/>
          <w:szCs w:val="32"/>
          <w:lang w:eastAsia="zh-CN"/>
        </w:rPr>
      </w:pP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lang w:val="en-US" w:eastAsia="zh-CN"/>
        </w:rPr>
        <w:t>1</w:t>
      </w: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rPr>
        <w:t>从休息区卫生间安装排污管道至边坡下方化粪池，约40M，需跨过泄洪沟道</w:t>
      </w:r>
      <w:r>
        <w:rPr>
          <w:rFonts w:hint="eastAsia" w:ascii="Times New Roman" w:hAnsi="Times New Roman" w:eastAsia="方正仿宋_GBK" w:cs="Times New Roman"/>
          <w:sz w:val="32"/>
          <w:szCs w:val="32"/>
          <w:lang w:eastAsia="zh-CN"/>
        </w:rPr>
        <w:t>。</w:t>
      </w:r>
    </w:p>
    <w:p w14:paraId="4C31B46E">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eastAsia" w:ascii="Times New Roman" w:hAnsi="Times New Roman" w:eastAsia="方正仿宋_GBK" w:cs="Times New Roman"/>
          <w:sz w:val="32"/>
          <w:szCs w:val="32"/>
          <w:lang w:eastAsia="zh-CN"/>
        </w:rPr>
      </w:pP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lang w:val="en-US" w:eastAsia="zh-CN"/>
        </w:rPr>
        <w:t>2</w:t>
      </w:r>
      <w:r>
        <w:rPr>
          <w:rFonts w:hint="default" w:ascii="Times New Roman" w:hAnsi="Times New Roman" w:eastAsia="方正仿宋_GBK" w:cs="Times New Roman"/>
          <w:sz w:val="32"/>
          <w:szCs w:val="32"/>
          <w:lang w:eastAsia="zh-CN"/>
        </w:rPr>
        <w:t>）</w:t>
      </w:r>
      <w:r>
        <w:rPr>
          <w:rFonts w:hint="default" w:ascii="Times New Roman" w:hAnsi="Times New Roman" w:eastAsia="方正仿宋_GBK" w:cs="Times New Roman"/>
          <w:sz w:val="32"/>
          <w:szCs w:val="32"/>
        </w:rPr>
        <w:t>管径按110mm配置</w:t>
      </w:r>
      <w:r>
        <w:rPr>
          <w:rFonts w:hint="eastAsia" w:ascii="Times New Roman" w:hAnsi="Times New Roman" w:eastAsia="方正仿宋_GBK" w:cs="Times New Roman"/>
          <w:sz w:val="32"/>
          <w:szCs w:val="32"/>
          <w:lang w:eastAsia="zh-CN"/>
        </w:rPr>
        <w:t>。</w:t>
      </w:r>
    </w:p>
    <w:p w14:paraId="32D75135">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楷体_GBK" w:cs="Times New Roman"/>
          <w:sz w:val="32"/>
          <w:szCs w:val="32"/>
          <w:lang w:val="en-US" w:eastAsia="zh-CN"/>
        </w:rPr>
      </w:pPr>
      <w:r>
        <w:rPr>
          <w:rFonts w:hint="default" w:ascii="Times New Roman" w:hAnsi="Times New Roman" w:eastAsia="方正楷体_GBK" w:cs="Times New Roman"/>
          <w:sz w:val="32"/>
          <w:szCs w:val="32"/>
          <w:lang w:val="en-US" w:eastAsia="zh-CN"/>
        </w:rPr>
        <w:t>（五）人行通道安装</w:t>
      </w:r>
    </w:p>
    <w:p w14:paraId="5E75B001">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t>1、效果图（附件6）</w:t>
      </w:r>
    </w:p>
    <w:p w14:paraId="165503C8">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t>2、场外人行通道</w:t>
      </w:r>
    </w:p>
    <w:p w14:paraId="1DF5A220">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t>充电站进口、出口人行道外设置人行斑马线，线宽40cm，线间隔60cm。</w:t>
      </w:r>
    </w:p>
    <w:p w14:paraId="0ED70C53">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t>3、场内人通道</w:t>
      </w:r>
    </w:p>
    <w:p w14:paraId="5C9B8AA9">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t>（1）防撞墙作为场内人行通道使用，靠充电站一侧设置不锈钢栏杆。不锈钢栏杆：高1.1m，长度约90m，主管壁厚≥1.5mm，立管≥0.7mm，焊接处需抛光无痕。</w:t>
      </w:r>
    </w:p>
    <w:p w14:paraId="2310954D">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t>（2）设置10个人行通道出入口，其中8个位于充电岛垂直于防撞墙处，1处设置在第一段防撞墙末端，1处设置在第二段防撞墙末端。栏杆预留0.8m宽人行通道出入口，设置2级台阶，每级宽不低于0.3m、台阶高度0.2m、长度0.8m。</w:t>
      </w:r>
    </w:p>
    <w:p w14:paraId="49CBD851">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t>（3）第二段防撞墙末端人行通道出入口至休息区人行通设置不锈钢栏杆，长度约10m。</w:t>
      </w:r>
    </w:p>
    <w:p w14:paraId="221DAA04">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黑体_GBK" w:cs="Times New Roman"/>
          <w:sz w:val="32"/>
          <w:szCs w:val="32"/>
          <w:lang w:val="en-US" w:eastAsia="zh-CN"/>
        </w:rPr>
      </w:pPr>
      <w:r>
        <w:rPr>
          <w:rFonts w:hint="default" w:ascii="Times New Roman" w:hAnsi="Times New Roman" w:eastAsia="方正黑体_GBK" w:cs="Times New Roman"/>
          <w:sz w:val="32"/>
          <w:szCs w:val="32"/>
          <w:lang w:val="en-US" w:eastAsia="zh-CN"/>
        </w:rPr>
        <w:t>三、报价方式</w:t>
      </w:r>
    </w:p>
    <w:p w14:paraId="5438992C">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eastAsia"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t>收到本次询价</w:t>
      </w:r>
      <w:r>
        <w:rPr>
          <w:rFonts w:hint="eastAsia" w:ascii="Times New Roman" w:hAnsi="Times New Roman" w:eastAsia="方正仿宋_GBK" w:cs="Times New Roman"/>
          <w:sz w:val="32"/>
          <w:szCs w:val="32"/>
          <w:lang w:val="en-US" w:eastAsia="zh-CN"/>
        </w:rPr>
        <w:t>文件</w:t>
      </w:r>
      <w:r>
        <w:rPr>
          <w:rFonts w:hint="default" w:ascii="Times New Roman" w:hAnsi="Times New Roman" w:eastAsia="方正仿宋_GBK" w:cs="Times New Roman"/>
          <w:sz w:val="32"/>
          <w:szCs w:val="32"/>
          <w:lang w:val="en-US" w:eastAsia="zh-CN"/>
        </w:rPr>
        <w:t>的单位，2025年8月1</w:t>
      </w:r>
      <w:r>
        <w:rPr>
          <w:rFonts w:hint="eastAsia" w:ascii="Times New Roman" w:hAnsi="Times New Roman" w:eastAsia="方正仿宋_GBK" w:cs="Times New Roman"/>
          <w:sz w:val="32"/>
          <w:szCs w:val="32"/>
          <w:lang w:val="en-US" w:eastAsia="zh-CN"/>
        </w:rPr>
        <w:t>8</w:t>
      </w:r>
      <w:r>
        <w:rPr>
          <w:rFonts w:hint="default" w:ascii="Times New Roman" w:hAnsi="Times New Roman" w:eastAsia="方正仿宋_GBK" w:cs="Times New Roman"/>
          <w:sz w:val="32"/>
          <w:szCs w:val="32"/>
          <w:lang w:val="en-US" w:eastAsia="zh-CN"/>
        </w:rPr>
        <w:t>日1</w:t>
      </w:r>
      <w:r>
        <w:rPr>
          <w:rFonts w:hint="eastAsia" w:ascii="Times New Roman" w:hAnsi="Times New Roman" w:eastAsia="方正仿宋_GBK" w:cs="Times New Roman"/>
          <w:sz w:val="32"/>
          <w:szCs w:val="32"/>
          <w:lang w:val="en-US" w:eastAsia="zh-CN"/>
        </w:rPr>
        <w:t>6</w:t>
      </w:r>
      <w:bookmarkStart w:id="0" w:name="_GoBack"/>
      <w:bookmarkEnd w:id="0"/>
      <w:r>
        <w:rPr>
          <w:rFonts w:hint="default" w:ascii="Times New Roman" w:hAnsi="Times New Roman" w:eastAsia="方正仿宋_GBK" w:cs="Times New Roman"/>
          <w:sz w:val="32"/>
          <w:szCs w:val="32"/>
          <w:lang w:val="en-US" w:eastAsia="zh-CN"/>
        </w:rPr>
        <w:t>:00截止，向我司官方邮箱wuliulvneng@163.com发送参与本次</w:t>
      </w:r>
      <w:r>
        <w:rPr>
          <w:rFonts w:hint="eastAsia" w:ascii="Times New Roman" w:hAnsi="Times New Roman" w:eastAsia="方正仿宋_GBK" w:cs="Times New Roman"/>
          <w:sz w:val="32"/>
          <w:szCs w:val="32"/>
          <w:lang w:val="en-US" w:eastAsia="zh-CN"/>
        </w:rPr>
        <w:t>项目</w:t>
      </w:r>
      <w:r>
        <w:rPr>
          <w:rFonts w:hint="default" w:ascii="Times New Roman" w:hAnsi="Times New Roman" w:eastAsia="方正仿宋_GBK" w:cs="Times New Roman"/>
          <w:sz w:val="32"/>
          <w:szCs w:val="32"/>
          <w:lang w:val="en-US" w:eastAsia="zh-CN"/>
        </w:rPr>
        <w:t>询价报价文件邮件，邮件标题：XX（公司名称）参与物流绿能纳溪沟港重卡超级充电站优化附属配置项目</w:t>
      </w:r>
      <w:r>
        <w:rPr>
          <w:rFonts w:hint="eastAsia" w:ascii="Times New Roman" w:hAnsi="Times New Roman" w:eastAsia="方正仿宋_GBK" w:cs="Times New Roman"/>
          <w:sz w:val="32"/>
          <w:szCs w:val="32"/>
          <w:lang w:val="en-US" w:eastAsia="zh-CN"/>
        </w:rPr>
        <w:t>报价</w:t>
      </w:r>
      <w:r>
        <w:rPr>
          <w:rFonts w:hint="default" w:ascii="Times New Roman" w:hAnsi="Times New Roman" w:eastAsia="方正仿宋_GBK" w:cs="Times New Roman"/>
          <w:sz w:val="32"/>
          <w:szCs w:val="32"/>
          <w:lang w:val="en-US" w:eastAsia="zh-CN"/>
        </w:rPr>
        <w:t>，邮件内容须包含公司名称、参与本次招标委托人与电话，邮件附PDF彩色扫描版文档（</w:t>
      </w:r>
      <w:r>
        <w:rPr>
          <w:rFonts w:hint="eastAsia" w:ascii="Times New Roman" w:hAnsi="Times New Roman" w:eastAsia="方正仿宋_GBK" w:cs="Times New Roman"/>
          <w:sz w:val="32"/>
          <w:szCs w:val="32"/>
          <w:lang w:val="en-US" w:eastAsia="zh-CN"/>
        </w:rPr>
        <w:t>包含</w:t>
      </w:r>
      <w:r>
        <w:rPr>
          <w:rFonts w:hint="default" w:ascii="Times New Roman" w:hAnsi="Times New Roman" w:eastAsia="方正仿宋_GBK" w:cs="Times New Roman"/>
          <w:sz w:val="32"/>
          <w:szCs w:val="32"/>
          <w:lang w:val="en-US" w:eastAsia="zh-CN"/>
        </w:rPr>
        <w:t>本项目投标报名单位营业执照、参与本次招标人员的授权委托书</w:t>
      </w:r>
      <w:r>
        <w:rPr>
          <w:rFonts w:hint="eastAsia" w:ascii="Times New Roman" w:hAnsi="Times New Roman" w:eastAsia="方正仿宋_GBK" w:cs="Times New Roman"/>
          <w:sz w:val="32"/>
          <w:szCs w:val="32"/>
          <w:lang w:val="en-US" w:eastAsia="zh-CN"/>
        </w:rPr>
        <w:t>、报价文件</w:t>
      </w:r>
      <w:r>
        <w:rPr>
          <w:rFonts w:hint="default" w:ascii="Times New Roman" w:hAnsi="Times New Roman" w:eastAsia="方正仿宋_GBK" w:cs="Times New Roman"/>
          <w:sz w:val="32"/>
          <w:szCs w:val="32"/>
          <w:lang w:val="en-US" w:eastAsia="zh-CN"/>
        </w:rPr>
        <w:t>），</w:t>
      </w:r>
      <w:r>
        <w:rPr>
          <w:rFonts w:hint="eastAsia" w:ascii="Times New Roman" w:hAnsi="Times New Roman" w:eastAsia="方正仿宋_GBK" w:cs="Times New Roman"/>
          <w:sz w:val="32"/>
          <w:szCs w:val="32"/>
          <w:lang w:val="en-US" w:eastAsia="zh-CN"/>
        </w:rPr>
        <w:t>所有文件必须加盖公章。</w:t>
      </w:r>
    </w:p>
    <w:p w14:paraId="5B589B47">
      <w:pPr>
        <w:pStyle w:val="4"/>
        <w:ind w:left="0" w:leftChars="0" w:firstLine="640" w:firstLineChars="200"/>
        <w:rPr>
          <w:rFonts w:hint="default" w:ascii="Times New Roman" w:hAnsi="Times New Roman" w:eastAsia="方正黑体_GBK" w:cs="Times New Roman"/>
          <w:sz w:val="32"/>
          <w:szCs w:val="32"/>
          <w:lang w:val="en-US" w:eastAsia="zh-CN"/>
        </w:rPr>
      </w:pPr>
      <w:r>
        <w:rPr>
          <w:rFonts w:hint="default" w:ascii="Times New Roman" w:hAnsi="Times New Roman" w:eastAsia="方正黑体_GBK" w:cs="Times New Roman"/>
          <w:sz w:val="32"/>
          <w:szCs w:val="32"/>
          <w:lang w:val="en-US" w:eastAsia="zh-CN"/>
        </w:rPr>
        <w:t>四、集中查勘现场时间</w:t>
      </w:r>
    </w:p>
    <w:p w14:paraId="314BF7C4">
      <w:pPr>
        <w:pStyle w:val="4"/>
        <w:ind w:left="0" w:leftChars="0" w:firstLine="640" w:firstLineChars="200"/>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t>现场查勘可自行查看，统一查勘时间为8月15日</w:t>
      </w:r>
      <w:r>
        <w:rPr>
          <w:rFonts w:hint="eastAsia" w:ascii="Times New Roman" w:hAnsi="Times New Roman" w:eastAsia="方正仿宋_GBK" w:cs="Times New Roman"/>
          <w:sz w:val="32"/>
          <w:szCs w:val="32"/>
          <w:lang w:val="en-US" w:eastAsia="zh-CN"/>
        </w:rPr>
        <w:t>上午</w:t>
      </w:r>
      <w:r>
        <w:rPr>
          <w:rFonts w:hint="default" w:ascii="Times New Roman" w:hAnsi="Times New Roman" w:eastAsia="方正仿宋_GBK" w:cs="Times New Roman"/>
          <w:sz w:val="32"/>
          <w:szCs w:val="32"/>
          <w:lang w:val="en-US" w:eastAsia="zh-CN"/>
        </w:rPr>
        <w:t>1</w:t>
      </w:r>
      <w:r>
        <w:rPr>
          <w:rFonts w:hint="eastAsia" w:ascii="Times New Roman" w:hAnsi="Times New Roman" w:eastAsia="方正仿宋_GBK" w:cs="Times New Roman"/>
          <w:sz w:val="32"/>
          <w:szCs w:val="32"/>
          <w:lang w:val="en-US" w:eastAsia="zh-CN"/>
        </w:rPr>
        <w:t>0</w:t>
      </w:r>
      <w:r>
        <w:rPr>
          <w:rFonts w:hint="default" w:ascii="Times New Roman" w:hAnsi="Times New Roman" w:eastAsia="方正仿宋_GBK" w:cs="Times New Roman"/>
          <w:sz w:val="32"/>
          <w:szCs w:val="32"/>
          <w:lang w:val="en-US" w:eastAsia="zh-CN"/>
        </w:rPr>
        <w:t>:00。</w:t>
      </w:r>
    </w:p>
    <w:p w14:paraId="13331B5E">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黑体_GBK" w:cs="Times New Roman"/>
          <w:sz w:val="32"/>
          <w:szCs w:val="32"/>
          <w:lang w:val="en-US" w:eastAsia="zh-CN"/>
        </w:rPr>
      </w:pPr>
      <w:r>
        <w:rPr>
          <w:rFonts w:hint="eastAsia" w:ascii="Times New Roman" w:hAnsi="Times New Roman" w:eastAsia="方正黑体_GBK" w:cs="Times New Roman"/>
          <w:sz w:val="32"/>
          <w:szCs w:val="32"/>
          <w:lang w:val="en-US" w:eastAsia="zh-CN"/>
        </w:rPr>
        <w:t>五、</w:t>
      </w:r>
      <w:r>
        <w:rPr>
          <w:rFonts w:hint="default" w:ascii="Times New Roman" w:hAnsi="Times New Roman" w:eastAsia="方正黑体_GBK" w:cs="Times New Roman"/>
          <w:sz w:val="32"/>
          <w:szCs w:val="32"/>
          <w:lang w:val="en-US" w:eastAsia="zh-CN"/>
        </w:rPr>
        <w:t>联系方式</w:t>
      </w:r>
    </w:p>
    <w:p w14:paraId="71145617">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t>场地查勘：</w:t>
      </w:r>
      <w:r>
        <w:rPr>
          <w:rFonts w:hint="eastAsia" w:ascii="Times New Roman" w:hAnsi="Times New Roman" w:eastAsia="方正仿宋_GBK" w:cs="Times New Roman"/>
          <w:sz w:val="32"/>
          <w:szCs w:val="32"/>
          <w:lang w:val="en-US" w:eastAsia="zh-CN"/>
        </w:rPr>
        <w:t>文先生</w:t>
      </w:r>
      <w:r>
        <w:rPr>
          <w:rFonts w:hint="default" w:ascii="Times New Roman" w:hAnsi="Times New Roman" w:eastAsia="方正仿宋_GBK" w:cs="Times New Roman"/>
          <w:sz w:val="32"/>
          <w:szCs w:val="32"/>
          <w:lang w:val="en-US" w:eastAsia="zh-CN"/>
        </w:rPr>
        <w:t xml:space="preserve"> 136</w:t>
      </w:r>
      <w:r>
        <w:rPr>
          <w:rFonts w:hint="eastAsia" w:ascii="Times New Roman" w:hAnsi="Times New Roman" w:eastAsia="方正仿宋_GBK" w:cs="Times New Roman"/>
          <w:sz w:val="32"/>
          <w:szCs w:val="32"/>
          <w:lang w:val="en-US" w:eastAsia="zh-CN"/>
        </w:rPr>
        <w:t>35434977</w:t>
      </w:r>
    </w:p>
    <w:p w14:paraId="0417AE7C">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eastAsia"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询价</w:t>
      </w:r>
      <w:r>
        <w:rPr>
          <w:rFonts w:hint="default" w:ascii="Times New Roman" w:hAnsi="Times New Roman" w:eastAsia="方正仿宋_GBK" w:cs="Times New Roman"/>
          <w:sz w:val="32"/>
          <w:szCs w:val="32"/>
          <w:lang w:val="en-US" w:eastAsia="zh-CN"/>
        </w:rPr>
        <w:t>事宜：</w:t>
      </w:r>
      <w:r>
        <w:rPr>
          <w:rFonts w:hint="eastAsia" w:ascii="Times New Roman" w:hAnsi="Times New Roman" w:eastAsia="方正仿宋_GBK" w:cs="Times New Roman"/>
          <w:sz w:val="32"/>
          <w:szCs w:val="32"/>
          <w:lang w:val="en-US" w:eastAsia="zh-CN"/>
        </w:rPr>
        <w:t>马先生</w:t>
      </w:r>
      <w:r>
        <w:rPr>
          <w:rFonts w:hint="default" w:ascii="Times New Roman" w:hAnsi="Times New Roman" w:eastAsia="方正仿宋_GBK" w:cs="Times New Roman"/>
          <w:sz w:val="32"/>
          <w:szCs w:val="32"/>
          <w:lang w:val="en-US" w:eastAsia="zh-CN"/>
        </w:rPr>
        <w:t xml:space="preserve"> </w:t>
      </w:r>
      <w:r>
        <w:rPr>
          <w:rFonts w:hint="eastAsia" w:ascii="Times New Roman" w:hAnsi="Times New Roman" w:eastAsia="方正仿宋_GBK" w:cs="Times New Roman"/>
          <w:sz w:val="32"/>
          <w:szCs w:val="32"/>
          <w:lang w:val="en-US" w:eastAsia="zh-CN"/>
        </w:rPr>
        <w:t>18225314555</w:t>
      </w:r>
    </w:p>
    <w:p w14:paraId="065E746C">
      <w:pPr>
        <w:pStyle w:val="4"/>
        <w:numPr>
          <w:ilvl w:val="0"/>
          <w:numId w:val="0"/>
        </w:numPr>
        <w:ind w:leftChars="0"/>
        <w:rPr>
          <w:rFonts w:hint="default" w:ascii="Times New Roman" w:hAnsi="Times New Roman" w:eastAsia="方正仿宋_GBK" w:cs="Times New Roman"/>
          <w:sz w:val="32"/>
          <w:szCs w:val="32"/>
          <w:lang w:val="en-US" w:eastAsia="zh-CN"/>
        </w:rPr>
      </w:pPr>
    </w:p>
    <w:p w14:paraId="61E35E4D">
      <w:pPr>
        <w:pStyle w:val="4"/>
        <w:numPr>
          <w:ilvl w:val="0"/>
          <w:numId w:val="0"/>
        </w:numPr>
        <w:ind w:leftChars="0"/>
        <w:rPr>
          <w:rFonts w:hint="default" w:ascii="Times New Roman" w:hAnsi="Times New Roman" w:eastAsia="方正仿宋_GBK" w:cs="Times New Roman"/>
          <w:sz w:val="32"/>
          <w:szCs w:val="32"/>
          <w:lang w:val="en-US" w:eastAsia="zh-CN"/>
        </w:rPr>
      </w:pPr>
    </w:p>
    <w:p w14:paraId="2F875421">
      <w:pPr>
        <w:pStyle w:val="4"/>
        <w:numPr>
          <w:ilvl w:val="0"/>
          <w:numId w:val="0"/>
        </w:numPr>
        <w:ind w:leftChars="0"/>
        <w:rPr>
          <w:rFonts w:hint="default" w:ascii="Times New Roman" w:hAnsi="Times New Roman" w:eastAsia="方正仿宋_GBK" w:cs="Times New Roman"/>
          <w:sz w:val="32"/>
          <w:szCs w:val="32"/>
          <w:lang w:val="en-US" w:eastAsia="zh-CN"/>
        </w:rPr>
      </w:pPr>
    </w:p>
    <w:p w14:paraId="1190F200">
      <w:pPr>
        <w:pStyle w:val="4"/>
        <w:numPr>
          <w:ilvl w:val="0"/>
          <w:numId w:val="0"/>
        </w:numPr>
        <w:ind w:leftChars="0"/>
        <w:rPr>
          <w:rFonts w:hint="default" w:ascii="Times New Roman" w:hAnsi="Times New Roman" w:eastAsia="方正仿宋_GBK" w:cs="Times New Roman"/>
          <w:sz w:val="32"/>
          <w:szCs w:val="32"/>
          <w:lang w:val="en-US" w:eastAsia="zh-CN"/>
        </w:rPr>
      </w:pPr>
    </w:p>
    <w:p w14:paraId="36505B24">
      <w:pPr>
        <w:pStyle w:val="4"/>
        <w:numPr>
          <w:ilvl w:val="0"/>
          <w:numId w:val="0"/>
        </w:numPr>
        <w:ind w:leftChars="0"/>
        <w:rPr>
          <w:rFonts w:hint="default" w:ascii="Times New Roman" w:hAnsi="Times New Roman" w:eastAsia="方正仿宋_GBK" w:cs="Times New Roman"/>
          <w:sz w:val="32"/>
          <w:szCs w:val="32"/>
          <w:lang w:val="en-US" w:eastAsia="zh-CN"/>
        </w:rPr>
      </w:pPr>
    </w:p>
    <w:p w14:paraId="0B2BD124">
      <w:pPr>
        <w:keepNext w:val="0"/>
        <w:keepLines w:val="0"/>
        <w:pageBreakBefore w:val="0"/>
        <w:widowControl w:val="0"/>
        <w:kinsoku/>
        <w:wordWrap/>
        <w:overflowPunct/>
        <w:topLinePunct w:val="0"/>
        <w:autoSpaceDE/>
        <w:autoSpaceDN/>
        <w:bidi w:val="0"/>
        <w:adjustRightInd/>
        <w:snapToGrid/>
        <w:spacing w:line="594" w:lineRule="exact"/>
        <w:jc w:val="right"/>
        <w:textAlignment w:val="auto"/>
        <w:rPr>
          <w:rFonts w:hint="eastAsia"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t>重庆物流集团渝地绿能科技有限公司</w:t>
      </w:r>
      <w:r>
        <w:rPr>
          <w:rFonts w:hint="eastAsia" w:ascii="Times New Roman" w:hAnsi="Times New Roman" w:eastAsia="方正仿宋_GBK" w:cs="Times New Roman"/>
          <w:sz w:val="32"/>
          <w:szCs w:val="32"/>
          <w:lang w:val="en-US" w:eastAsia="zh-CN"/>
        </w:rPr>
        <w:t xml:space="preserve">                                                    </w:t>
      </w:r>
    </w:p>
    <w:p w14:paraId="687D8306">
      <w:pPr>
        <w:keepNext w:val="0"/>
        <w:keepLines w:val="0"/>
        <w:pageBreakBefore w:val="0"/>
        <w:widowControl w:val="0"/>
        <w:kinsoku/>
        <w:wordWrap/>
        <w:overflowPunct/>
        <w:topLinePunct w:val="0"/>
        <w:autoSpaceDE/>
        <w:autoSpaceDN/>
        <w:bidi w:val="0"/>
        <w:adjustRightInd/>
        <w:snapToGrid/>
        <w:spacing w:line="594" w:lineRule="exact"/>
        <w:ind w:firstLine="640" w:firstLineChars="200"/>
        <w:textAlignment w:val="auto"/>
        <w:rPr>
          <w:rFonts w:hint="default" w:ascii="Times New Roman" w:hAnsi="Times New Roman" w:eastAsia="方正仿宋_GBK" w:cs="Times New Roman"/>
          <w:sz w:val="32"/>
          <w:szCs w:val="32"/>
          <w:lang w:val="en-US" w:eastAsia="zh-CN"/>
        </w:rPr>
      </w:pPr>
      <w:r>
        <w:rPr>
          <w:rFonts w:hint="eastAsia" w:ascii="Times New Roman" w:hAnsi="Times New Roman" w:eastAsia="方正仿宋_GBK" w:cs="Times New Roman"/>
          <w:sz w:val="32"/>
          <w:szCs w:val="32"/>
          <w:lang w:val="en-US" w:eastAsia="zh-CN"/>
        </w:rPr>
        <w:t xml:space="preserve">                               2025年8月14日</w:t>
      </w:r>
    </w:p>
    <w:p w14:paraId="562B149C">
      <w:pPr>
        <w:pStyle w:val="4"/>
        <w:numPr>
          <w:ilvl w:val="0"/>
          <w:numId w:val="0"/>
        </w:numPr>
        <w:ind w:leftChars="0"/>
        <w:rPr>
          <w:rFonts w:hint="default" w:ascii="Times New Roman" w:hAnsi="Times New Roman" w:eastAsia="方正仿宋_GBK" w:cs="Times New Roman"/>
          <w:sz w:val="32"/>
          <w:szCs w:val="32"/>
          <w:lang w:val="en-US" w:eastAsia="zh-CN"/>
        </w:rPr>
      </w:pPr>
    </w:p>
    <w:p w14:paraId="3A448F47">
      <w:pPr>
        <w:pStyle w:val="4"/>
        <w:numPr>
          <w:ilvl w:val="0"/>
          <w:numId w:val="0"/>
        </w:numPr>
        <w:ind w:leftChars="0"/>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t>附件1</w:t>
      </w:r>
    </w:p>
    <w:p w14:paraId="6B3E2AC1">
      <w:pPr>
        <w:pStyle w:val="4"/>
        <w:numPr>
          <w:ilvl w:val="0"/>
          <w:numId w:val="0"/>
        </w:numPr>
        <w:ind w:leftChars="0"/>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drawing>
          <wp:inline distT="0" distB="0" distL="114300" distR="114300">
            <wp:extent cx="5232400" cy="2950845"/>
            <wp:effectExtent l="0" t="0" r="6350" b="1905"/>
            <wp:docPr id="1" name="图片 1" descr="附件1、 现状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附件1、 现状图"/>
                    <pic:cNvPicPr>
                      <a:picLocks noChangeAspect="1"/>
                    </pic:cNvPicPr>
                  </pic:nvPicPr>
                  <pic:blipFill>
                    <a:blip r:embed="rId4"/>
                    <a:stretch>
                      <a:fillRect/>
                    </a:stretch>
                  </pic:blipFill>
                  <pic:spPr>
                    <a:xfrm>
                      <a:off x="0" y="0"/>
                      <a:ext cx="5232400" cy="2950845"/>
                    </a:xfrm>
                    <a:prstGeom prst="rect">
                      <a:avLst/>
                    </a:prstGeom>
                  </pic:spPr>
                </pic:pic>
              </a:graphicData>
            </a:graphic>
          </wp:inline>
        </w:drawing>
      </w:r>
    </w:p>
    <w:p w14:paraId="08EE0363">
      <w:pPr>
        <w:pStyle w:val="4"/>
        <w:numPr>
          <w:ilvl w:val="0"/>
          <w:numId w:val="0"/>
        </w:numPr>
        <w:ind w:leftChars="0"/>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t>附件2</w:t>
      </w:r>
    </w:p>
    <w:p w14:paraId="2B2E7E00">
      <w:pPr>
        <w:pStyle w:val="4"/>
        <w:numPr>
          <w:ilvl w:val="0"/>
          <w:numId w:val="0"/>
        </w:numPr>
        <w:ind w:leftChars="0"/>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drawing>
          <wp:inline distT="0" distB="0" distL="114300" distR="114300">
            <wp:extent cx="5266690" cy="2633345"/>
            <wp:effectExtent l="0" t="0" r="10160" b="14605"/>
            <wp:docPr id="2" name="图片 2" descr="附件2、充电站整体效果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附件2、充电站整体效果图"/>
                    <pic:cNvPicPr>
                      <a:picLocks noChangeAspect="1"/>
                    </pic:cNvPicPr>
                  </pic:nvPicPr>
                  <pic:blipFill>
                    <a:blip r:embed="rId5"/>
                    <a:stretch>
                      <a:fillRect/>
                    </a:stretch>
                  </pic:blipFill>
                  <pic:spPr>
                    <a:xfrm>
                      <a:off x="0" y="0"/>
                      <a:ext cx="5266690" cy="2633345"/>
                    </a:xfrm>
                    <a:prstGeom prst="rect">
                      <a:avLst/>
                    </a:prstGeom>
                  </pic:spPr>
                </pic:pic>
              </a:graphicData>
            </a:graphic>
          </wp:inline>
        </w:drawing>
      </w:r>
    </w:p>
    <w:p w14:paraId="1587A57E">
      <w:pPr>
        <w:pStyle w:val="4"/>
        <w:numPr>
          <w:ilvl w:val="0"/>
          <w:numId w:val="0"/>
        </w:numPr>
        <w:ind w:leftChars="0"/>
        <w:rPr>
          <w:rFonts w:hint="default" w:ascii="Times New Roman" w:hAnsi="Times New Roman" w:eastAsia="方正仿宋_GBK" w:cs="Times New Roman"/>
          <w:sz w:val="32"/>
          <w:szCs w:val="32"/>
          <w:lang w:val="en-US" w:eastAsia="zh-CN"/>
        </w:rPr>
      </w:pPr>
    </w:p>
    <w:p w14:paraId="572C3E90">
      <w:pPr>
        <w:pStyle w:val="4"/>
        <w:numPr>
          <w:ilvl w:val="0"/>
          <w:numId w:val="0"/>
        </w:numPr>
        <w:ind w:leftChars="0"/>
        <w:rPr>
          <w:rFonts w:hint="default" w:ascii="Times New Roman" w:hAnsi="Times New Roman" w:eastAsia="方正仿宋_GBK" w:cs="Times New Roman"/>
          <w:sz w:val="32"/>
          <w:szCs w:val="32"/>
          <w:lang w:val="en-US" w:eastAsia="zh-CN"/>
        </w:rPr>
      </w:pPr>
    </w:p>
    <w:p w14:paraId="025115D1">
      <w:pPr>
        <w:pStyle w:val="4"/>
        <w:numPr>
          <w:ilvl w:val="0"/>
          <w:numId w:val="0"/>
        </w:numPr>
        <w:ind w:leftChars="0"/>
        <w:rPr>
          <w:rFonts w:hint="default" w:ascii="Times New Roman" w:hAnsi="Times New Roman" w:eastAsia="方正仿宋_GBK" w:cs="Times New Roman"/>
          <w:sz w:val="32"/>
          <w:szCs w:val="32"/>
          <w:lang w:val="en-US" w:eastAsia="zh-CN"/>
        </w:rPr>
      </w:pPr>
    </w:p>
    <w:p w14:paraId="797DED68">
      <w:pPr>
        <w:pStyle w:val="4"/>
        <w:numPr>
          <w:ilvl w:val="0"/>
          <w:numId w:val="0"/>
        </w:numPr>
        <w:ind w:leftChars="0"/>
        <w:rPr>
          <w:rFonts w:hint="default" w:ascii="Times New Roman" w:hAnsi="Times New Roman" w:eastAsia="方正仿宋_GBK" w:cs="Times New Roman"/>
          <w:sz w:val="32"/>
          <w:szCs w:val="32"/>
          <w:lang w:val="en-US" w:eastAsia="zh-CN"/>
        </w:rPr>
      </w:pPr>
    </w:p>
    <w:p w14:paraId="6CAB164A">
      <w:pPr>
        <w:pStyle w:val="4"/>
        <w:numPr>
          <w:ilvl w:val="0"/>
          <w:numId w:val="0"/>
        </w:numPr>
        <w:ind w:leftChars="0"/>
        <w:rPr>
          <w:rFonts w:hint="default" w:ascii="Times New Roman" w:hAnsi="Times New Roman" w:eastAsia="方正仿宋_GBK" w:cs="Times New Roman"/>
          <w:sz w:val="32"/>
          <w:szCs w:val="32"/>
          <w:lang w:val="en-US" w:eastAsia="zh-CN"/>
        </w:rPr>
      </w:pPr>
    </w:p>
    <w:p w14:paraId="28BD2DD1">
      <w:pPr>
        <w:pStyle w:val="4"/>
        <w:numPr>
          <w:ilvl w:val="0"/>
          <w:numId w:val="0"/>
        </w:numPr>
        <w:ind w:leftChars="0"/>
        <w:rPr>
          <w:rFonts w:hint="default" w:ascii="Times New Roman" w:hAnsi="Times New Roman" w:eastAsia="方正仿宋_GBK" w:cs="Times New Roman"/>
          <w:sz w:val="32"/>
          <w:szCs w:val="32"/>
          <w:lang w:val="en-US" w:eastAsia="zh-CN"/>
        </w:rPr>
      </w:pPr>
    </w:p>
    <w:p w14:paraId="7FF183D7">
      <w:pPr>
        <w:pStyle w:val="4"/>
        <w:numPr>
          <w:ilvl w:val="0"/>
          <w:numId w:val="0"/>
        </w:numPr>
        <w:ind w:leftChars="0"/>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t>附件3</w:t>
      </w:r>
    </w:p>
    <w:p w14:paraId="3E30F499">
      <w:pPr>
        <w:pStyle w:val="4"/>
        <w:numPr>
          <w:ilvl w:val="0"/>
          <w:numId w:val="0"/>
        </w:numPr>
        <w:ind w:leftChars="0"/>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drawing>
          <wp:inline distT="0" distB="0" distL="114300" distR="114300">
            <wp:extent cx="2112010" cy="5259070"/>
            <wp:effectExtent l="0" t="0" r="17780" b="2540"/>
            <wp:docPr id="3" name="图片 3" descr="附件3、拆除围墙全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附件3、拆除围墙全景"/>
                    <pic:cNvPicPr>
                      <a:picLocks noChangeAspect="1"/>
                    </pic:cNvPicPr>
                  </pic:nvPicPr>
                  <pic:blipFill>
                    <a:blip r:embed="rId6"/>
                    <a:stretch>
                      <a:fillRect/>
                    </a:stretch>
                  </pic:blipFill>
                  <pic:spPr>
                    <a:xfrm rot="5400000">
                      <a:off x="0" y="0"/>
                      <a:ext cx="2112010" cy="5259070"/>
                    </a:xfrm>
                    <a:prstGeom prst="rect">
                      <a:avLst/>
                    </a:prstGeom>
                  </pic:spPr>
                </pic:pic>
              </a:graphicData>
            </a:graphic>
          </wp:inline>
        </w:drawing>
      </w:r>
    </w:p>
    <w:p w14:paraId="1C3F6538">
      <w:pPr>
        <w:pStyle w:val="4"/>
        <w:numPr>
          <w:ilvl w:val="0"/>
          <w:numId w:val="0"/>
        </w:numPr>
        <w:ind w:leftChars="0"/>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t>附件4</w:t>
      </w:r>
    </w:p>
    <w:p w14:paraId="4B0C13A4">
      <w:pPr>
        <w:pStyle w:val="4"/>
        <w:numPr>
          <w:ilvl w:val="0"/>
          <w:numId w:val="0"/>
        </w:numPr>
        <w:ind w:leftChars="0"/>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drawing>
          <wp:inline distT="0" distB="0" distL="114300" distR="114300">
            <wp:extent cx="5257800" cy="2965450"/>
            <wp:effectExtent l="0" t="0" r="0" b="6350"/>
            <wp:docPr id="4" name="图片 4" descr="附件4、拆除防护栏新设围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附件4、拆除防护栏新设围挡"/>
                    <pic:cNvPicPr>
                      <a:picLocks noChangeAspect="1"/>
                    </pic:cNvPicPr>
                  </pic:nvPicPr>
                  <pic:blipFill>
                    <a:blip r:embed="rId7"/>
                    <a:stretch>
                      <a:fillRect/>
                    </a:stretch>
                  </pic:blipFill>
                  <pic:spPr>
                    <a:xfrm>
                      <a:off x="0" y="0"/>
                      <a:ext cx="5257800" cy="2965450"/>
                    </a:xfrm>
                    <a:prstGeom prst="rect">
                      <a:avLst/>
                    </a:prstGeom>
                  </pic:spPr>
                </pic:pic>
              </a:graphicData>
            </a:graphic>
          </wp:inline>
        </w:drawing>
      </w:r>
    </w:p>
    <w:p w14:paraId="4BAFB38C">
      <w:pPr>
        <w:pStyle w:val="4"/>
        <w:numPr>
          <w:ilvl w:val="0"/>
          <w:numId w:val="0"/>
        </w:numPr>
        <w:ind w:leftChars="0"/>
        <w:rPr>
          <w:rFonts w:hint="default" w:ascii="Times New Roman" w:hAnsi="Times New Roman" w:eastAsia="方正仿宋_GBK" w:cs="Times New Roman"/>
          <w:sz w:val="32"/>
          <w:szCs w:val="32"/>
          <w:lang w:val="en-US" w:eastAsia="zh-CN"/>
        </w:rPr>
      </w:pPr>
    </w:p>
    <w:p w14:paraId="01B779DF">
      <w:pPr>
        <w:pStyle w:val="4"/>
        <w:numPr>
          <w:ilvl w:val="0"/>
          <w:numId w:val="0"/>
        </w:numPr>
        <w:ind w:leftChars="0"/>
        <w:rPr>
          <w:rFonts w:hint="default" w:ascii="Times New Roman" w:hAnsi="Times New Roman" w:eastAsia="方正仿宋_GBK" w:cs="Times New Roman"/>
          <w:sz w:val="32"/>
          <w:szCs w:val="32"/>
          <w:lang w:val="en-US" w:eastAsia="zh-CN"/>
        </w:rPr>
      </w:pPr>
    </w:p>
    <w:p w14:paraId="208566A2">
      <w:pPr>
        <w:pStyle w:val="4"/>
        <w:numPr>
          <w:ilvl w:val="0"/>
          <w:numId w:val="0"/>
        </w:numPr>
        <w:ind w:leftChars="0"/>
        <w:rPr>
          <w:rFonts w:hint="default" w:ascii="Times New Roman" w:hAnsi="Times New Roman" w:eastAsia="方正仿宋_GBK" w:cs="Times New Roman"/>
          <w:sz w:val="32"/>
          <w:szCs w:val="32"/>
          <w:lang w:val="en-US" w:eastAsia="zh-CN"/>
        </w:rPr>
      </w:pPr>
    </w:p>
    <w:p w14:paraId="4B082EB0">
      <w:pPr>
        <w:pStyle w:val="4"/>
        <w:numPr>
          <w:ilvl w:val="0"/>
          <w:numId w:val="0"/>
        </w:numPr>
        <w:ind w:leftChars="0"/>
        <w:rPr>
          <w:rFonts w:hint="default" w:ascii="Times New Roman" w:hAnsi="Times New Roman" w:eastAsia="方正仿宋_GBK" w:cs="Times New Roman"/>
          <w:sz w:val="32"/>
          <w:szCs w:val="32"/>
          <w:lang w:val="en-US" w:eastAsia="zh-CN"/>
        </w:rPr>
      </w:pPr>
    </w:p>
    <w:p w14:paraId="5D672D0C">
      <w:pPr>
        <w:pStyle w:val="4"/>
        <w:numPr>
          <w:ilvl w:val="0"/>
          <w:numId w:val="0"/>
        </w:numPr>
        <w:ind w:leftChars="0"/>
        <w:rPr>
          <w:rFonts w:hint="default" w:ascii="Times New Roman" w:hAnsi="Times New Roman" w:eastAsia="方正仿宋_GBK" w:cs="Times New Roman"/>
          <w:sz w:val="32"/>
          <w:szCs w:val="32"/>
          <w:lang w:val="en-US" w:eastAsia="zh-CN"/>
        </w:rPr>
      </w:pPr>
    </w:p>
    <w:p w14:paraId="399A8E96">
      <w:pPr>
        <w:pStyle w:val="4"/>
        <w:numPr>
          <w:ilvl w:val="0"/>
          <w:numId w:val="0"/>
        </w:numPr>
        <w:ind w:leftChars="0"/>
        <w:rPr>
          <w:rFonts w:hint="default" w:ascii="Times New Roman" w:hAnsi="Times New Roman" w:eastAsia="方正仿宋_GBK" w:cs="Times New Roman"/>
          <w:sz w:val="32"/>
          <w:szCs w:val="32"/>
          <w:lang w:val="en-US" w:eastAsia="zh-CN"/>
        </w:rPr>
      </w:pPr>
    </w:p>
    <w:p w14:paraId="2238CA00">
      <w:pPr>
        <w:pStyle w:val="4"/>
        <w:numPr>
          <w:ilvl w:val="0"/>
          <w:numId w:val="0"/>
        </w:numPr>
        <w:ind w:leftChars="0"/>
        <w:rPr>
          <w:rFonts w:hint="default" w:ascii="Times New Roman" w:hAnsi="Times New Roman" w:eastAsia="方正仿宋_GBK" w:cs="Times New Roman"/>
          <w:sz w:val="32"/>
          <w:szCs w:val="32"/>
          <w:lang w:val="en-US" w:eastAsia="zh-CN"/>
        </w:rPr>
      </w:pPr>
    </w:p>
    <w:p w14:paraId="7346D778">
      <w:pPr>
        <w:pStyle w:val="4"/>
        <w:numPr>
          <w:ilvl w:val="0"/>
          <w:numId w:val="0"/>
        </w:numPr>
        <w:ind w:leftChars="0"/>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t>附件5</w:t>
      </w:r>
    </w:p>
    <w:p w14:paraId="007C37DA">
      <w:pPr>
        <w:pStyle w:val="4"/>
        <w:numPr>
          <w:ilvl w:val="0"/>
          <w:numId w:val="0"/>
        </w:numPr>
        <w:ind w:leftChars="0"/>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drawing>
          <wp:inline distT="0" distB="0" distL="114300" distR="114300">
            <wp:extent cx="3869055" cy="5339715"/>
            <wp:effectExtent l="0" t="0" r="17145" b="13335"/>
            <wp:docPr id="5" name="图片 5" descr="附件5、休息区至化粪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附件5、休息区至化粪池"/>
                    <pic:cNvPicPr>
                      <a:picLocks noChangeAspect="1"/>
                    </pic:cNvPicPr>
                  </pic:nvPicPr>
                  <pic:blipFill>
                    <a:blip r:embed="rId8"/>
                    <a:stretch>
                      <a:fillRect/>
                    </a:stretch>
                  </pic:blipFill>
                  <pic:spPr>
                    <a:xfrm>
                      <a:off x="0" y="0"/>
                      <a:ext cx="3869055" cy="5339715"/>
                    </a:xfrm>
                    <a:prstGeom prst="rect">
                      <a:avLst/>
                    </a:prstGeom>
                  </pic:spPr>
                </pic:pic>
              </a:graphicData>
            </a:graphic>
          </wp:inline>
        </w:drawing>
      </w:r>
    </w:p>
    <w:p w14:paraId="2F4AA170">
      <w:pPr>
        <w:pStyle w:val="4"/>
        <w:numPr>
          <w:ilvl w:val="0"/>
          <w:numId w:val="0"/>
        </w:numPr>
        <w:ind w:leftChars="0"/>
        <w:rPr>
          <w:rFonts w:hint="default" w:ascii="Times New Roman" w:hAnsi="Times New Roman" w:eastAsia="方正仿宋_GBK" w:cs="Times New Roman"/>
          <w:sz w:val="32"/>
          <w:szCs w:val="32"/>
          <w:lang w:val="en-US" w:eastAsia="zh-CN"/>
        </w:rPr>
      </w:pPr>
    </w:p>
    <w:p w14:paraId="0D5BEFF1">
      <w:pPr>
        <w:pStyle w:val="4"/>
        <w:numPr>
          <w:ilvl w:val="0"/>
          <w:numId w:val="0"/>
        </w:numPr>
        <w:ind w:leftChars="0"/>
        <w:rPr>
          <w:rFonts w:hint="default" w:ascii="Times New Roman" w:hAnsi="Times New Roman" w:eastAsia="方正仿宋_GBK" w:cs="Times New Roman"/>
          <w:sz w:val="32"/>
          <w:szCs w:val="32"/>
          <w:lang w:val="en-US" w:eastAsia="zh-CN"/>
        </w:rPr>
      </w:pPr>
    </w:p>
    <w:p w14:paraId="46B8595F">
      <w:pPr>
        <w:pStyle w:val="4"/>
        <w:numPr>
          <w:ilvl w:val="0"/>
          <w:numId w:val="0"/>
        </w:numPr>
        <w:ind w:leftChars="0"/>
        <w:rPr>
          <w:rFonts w:hint="default" w:ascii="Times New Roman" w:hAnsi="Times New Roman" w:eastAsia="方正仿宋_GBK" w:cs="Times New Roman"/>
          <w:sz w:val="32"/>
          <w:szCs w:val="32"/>
          <w:lang w:val="en-US" w:eastAsia="zh-CN"/>
        </w:rPr>
      </w:pPr>
    </w:p>
    <w:p w14:paraId="318E77F5">
      <w:pPr>
        <w:pStyle w:val="4"/>
        <w:numPr>
          <w:ilvl w:val="0"/>
          <w:numId w:val="0"/>
        </w:numPr>
        <w:ind w:leftChars="0"/>
        <w:rPr>
          <w:rFonts w:hint="default" w:ascii="Times New Roman" w:hAnsi="Times New Roman" w:eastAsia="方正仿宋_GBK" w:cs="Times New Roman"/>
          <w:sz w:val="32"/>
          <w:szCs w:val="32"/>
          <w:lang w:val="en-US" w:eastAsia="zh-CN"/>
        </w:rPr>
      </w:pPr>
    </w:p>
    <w:p w14:paraId="079C6332">
      <w:pPr>
        <w:pStyle w:val="4"/>
        <w:numPr>
          <w:ilvl w:val="0"/>
          <w:numId w:val="0"/>
        </w:numPr>
        <w:ind w:leftChars="0"/>
        <w:rPr>
          <w:rFonts w:hint="default" w:ascii="Times New Roman" w:hAnsi="Times New Roman" w:eastAsia="方正仿宋_GBK" w:cs="Times New Roman"/>
          <w:sz w:val="32"/>
          <w:szCs w:val="32"/>
          <w:lang w:val="en-US" w:eastAsia="zh-CN"/>
        </w:rPr>
      </w:pPr>
    </w:p>
    <w:p w14:paraId="6579D8AB">
      <w:pPr>
        <w:pStyle w:val="4"/>
        <w:numPr>
          <w:ilvl w:val="0"/>
          <w:numId w:val="0"/>
        </w:numPr>
        <w:ind w:leftChars="0"/>
        <w:rPr>
          <w:rFonts w:hint="default" w:ascii="Times New Roman" w:hAnsi="Times New Roman" w:eastAsia="方正仿宋_GBK" w:cs="Times New Roman"/>
          <w:sz w:val="32"/>
          <w:szCs w:val="32"/>
          <w:lang w:val="en-US" w:eastAsia="zh-CN"/>
        </w:rPr>
      </w:pPr>
    </w:p>
    <w:p w14:paraId="6BA9AB1E">
      <w:pPr>
        <w:pStyle w:val="4"/>
        <w:numPr>
          <w:ilvl w:val="0"/>
          <w:numId w:val="0"/>
        </w:numPr>
        <w:ind w:leftChars="0"/>
        <w:rPr>
          <w:rFonts w:hint="default" w:ascii="Times New Roman" w:hAnsi="Times New Roman" w:eastAsia="方正仿宋_GBK" w:cs="Times New Roman"/>
          <w:sz w:val="32"/>
          <w:szCs w:val="32"/>
          <w:lang w:val="en-US" w:eastAsia="zh-CN"/>
        </w:rPr>
      </w:pPr>
    </w:p>
    <w:p w14:paraId="22B2AB32">
      <w:pPr>
        <w:pStyle w:val="4"/>
        <w:numPr>
          <w:ilvl w:val="0"/>
          <w:numId w:val="0"/>
        </w:numPr>
        <w:ind w:leftChars="0"/>
        <w:rPr>
          <w:rFonts w:hint="default" w:ascii="Times New Roman" w:hAnsi="Times New Roman" w:eastAsia="方正仿宋_GBK" w:cs="Times New Roman"/>
          <w:sz w:val="32"/>
          <w:szCs w:val="32"/>
          <w:lang w:val="en-US" w:eastAsia="zh-CN"/>
        </w:rPr>
        <w:sectPr>
          <w:pgSz w:w="11906" w:h="16838"/>
          <w:pgMar w:top="1440" w:right="1800" w:bottom="1440" w:left="1800" w:header="851" w:footer="992" w:gutter="0"/>
          <w:cols w:space="425" w:num="1"/>
          <w:docGrid w:type="lines" w:linePitch="312" w:charSpace="0"/>
        </w:sectPr>
      </w:pPr>
    </w:p>
    <w:p w14:paraId="5A02008E">
      <w:pPr>
        <w:pStyle w:val="4"/>
        <w:numPr>
          <w:ilvl w:val="0"/>
          <w:numId w:val="0"/>
        </w:numPr>
        <w:ind w:leftChars="0"/>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t>附件6</w:t>
      </w:r>
    </w:p>
    <w:p w14:paraId="0A4F5469">
      <w:pPr>
        <w:pStyle w:val="4"/>
        <w:numPr>
          <w:ilvl w:val="0"/>
          <w:numId w:val="0"/>
        </w:numPr>
        <w:ind w:leftChars="0"/>
        <w:rPr>
          <w:rFonts w:hint="default" w:ascii="Times New Roman" w:hAnsi="Times New Roman" w:eastAsia="方正仿宋_GBK" w:cs="Times New Roman"/>
          <w:sz w:val="32"/>
          <w:szCs w:val="32"/>
          <w:lang w:val="en-US" w:eastAsia="zh-CN"/>
        </w:rPr>
      </w:pPr>
      <w:r>
        <w:rPr>
          <w:rFonts w:hint="default" w:ascii="Times New Roman" w:hAnsi="Times New Roman" w:eastAsia="方正仿宋_GBK" w:cs="Times New Roman"/>
          <w:sz w:val="32"/>
          <w:szCs w:val="32"/>
          <w:lang w:val="en-US" w:eastAsia="zh-CN"/>
        </w:rPr>
        <w:drawing>
          <wp:inline distT="0" distB="0" distL="114300" distR="114300">
            <wp:extent cx="8822055" cy="2924810"/>
            <wp:effectExtent l="0" t="0" r="17145" b="8890"/>
            <wp:docPr id="8" name="图片 8" descr="1755085985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755085985539"/>
                    <pic:cNvPicPr>
                      <a:picLocks noChangeAspect="1"/>
                    </pic:cNvPicPr>
                  </pic:nvPicPr>
                  <pic:blipFill>
                    <a:blip r:embed="rId9"/>
                    <a:stretch>
                      <a:fillRect/>
                    </a:stretch>
                  </pic:blipFill>
                  <pic:spPr>
                    <a:xfrm>
                      <a:off x="0" y="0"/>
                      <a:ext cx="8822055" cy="2924810"/>
                    </a:xfrm>
                    <a:prstGeom prst="rect">
                      <a:avLst/>
                    </a:prstGeom>
                  </pic:spPr>
                </pic:pic>
              </a:graphicData>
            </a:graphic>
          </wp:inline>
        </w:drawing>
      </w:r>
    </w:p>
    <w:sectPr>
      <w:pgSz w:w="16838" w:h="11906" w:orient="landscape"/>
      <w:pgMar w:top="1803" w:right="1440" w:bottom="1803" w:left="1440" w:header="851" w:footer="992" w:gutter="0"/>
      <w:cols w:space="0" w:num="1"/>
      <w:rtlGutter w:val="0"/>
      <w:docGrid w:type="lines" w:linePitch="31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方正小标宋_GBK">
    <w:panose1 w:val="03000509000000000000"/>
    <w:charset w:val="86"/>
    <w:family w:val="auto"/>
    <w:pitch w:val="default"/>
    <w:sig w:usb0="00000001" w:usb1="080E0000" w:usb2="00000000" w:usb3="00000000" w:csb0="00040000" w:csb1="00000000"/>
    <w:embedRegular r:id="rId1" w:fontKey="{2FE502C8-A900-4CBB-BB78-0DFA7D475E4A}"/>
  </w:font>
  <w:font w:name="方正仿宋_GBK">
    <w:panose1 w:val="03000509000000000000"/>
    <w:charset w:val="86"/>
    <w:family w:val="auto"/>
    <w:pitch w:val="default"/>
    <w:sig w:usb0="00000001" w:usb1="080E0000" w:usb2="00000000" w:usb3="00000000" w:csb0="00040000" w:csb1="00000000"/>
    <w:embedRegular r:id="rId2" w:fontKey="{C613BE16-C022-429C-B27D-0DC885AB78E9}"/>
  </w:font>
  <w:font w:name="方正黑体_GBK">
    <w:panose1 w:val="03000509000000000000"/>
    <w:charset w:val="86"/>
    <w:family w:val="auto"/>
    <w:pitch w:val="default"/>
    <w:sig w:usb0="00000001" w:usb1="080E0000" w:usb2="00000000" w:usb3="00000000" w:csb0="00040000" w:csb1="00000000"/>
    <w:embedRegular r:id="rId3" w:fontKey="{E088008A-1B39-4A27-A0CC-236BC82E1E49}"/>
  </w:font>
  <w:font w:name="方正楷体_GBK">
    <w:panose1 w:val="03000509000000000000"/>
    <w:charset w:val="86"/>
    <w:family w:val="auto"/>
    <w:pitch w:val="default"/>
    <w:sig w:usb0="00000001" w:usb1="080E0000" w:usb2="00000000" w:usb3="00000000" w:csb0="00040000" w:csb1="00000000"/>
    <w:embedRegular r:id="rId4" w:fontKey="{8F9F4AED-5E5B-4F12-B9B2-B2D261C6939C}"/>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1"/>
  <w:bordersDoNotSurroundFooter w:val="1"/>
  <w:documentProtection w:enforcement="0"/>
  <w:defaultTabStop w:val="420"/>
  <w:drawingGridVerticalSpacing w:val="159"/>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645D"/>
    <w:rsid w:val="00076336"/>
    <w:rsid w:val="000C294A"/>
    <w:rsid w:val="00147A1F"/>
    <w:rsid w:val="002D3CD8"/>
    <w:rsid w:val="00494CAE"/>
    <w:rsid w:val="008A5E97"/>
    <w:rsid w:val="008B5599"/>
    <w:rsid w:val="00AE5F50"/>
    <w:rsid w:val="00B073E9"/>
    <w:rsid w:val="00B7345B"/>
    <w:rsid w:val="00BF13D6"/>
    <w:rsid w:val="00C34908"/>
    <w:rsid w:val="00D97C2C"/>
    <w:rsid w:val="00DF2D2F"/>
    <w:rsid w:val="00E9645D"/>
    <w:rsid w:val="00F109D6"/>
    <w:rsid w:val="02A80FA1"/>
    <w:rsid w:val="0611690D"/>
    <w:rsid w:val="06556D93"/>
    <w:rsid w:val="09CA7929"/>
    <w:rsid w:val="0D847289"/>
    <w:rsid w:val="0DA6583B"/>
    <w:rsid w:val="11800796"/>
    <w:rsid w:val="12445976"/>
    <w:rsid w:val="136C3083"/>
    <w:rsid w:val="13985C26"/>
    <w:rsid w:val="14F74BCE"/>
    <w:rsid w:val="15A24B3A"/>
    <w:rsid w:val="16826719"/>
    <w:rsid w:val="1A442663"/>
    <w:rsid w:val="22F664C5"/>
    <w:rsid w:val="23713D9D"/>
    <w:rsid w:val="23A61396"/>
    <w:rsid w:val="27D93B56"/>
    <w:rsid w:val="29CD101B"/>
    <w:rsid w:val="2ACB0237"/>
    <w:rsid w:val="2BAC76B6"/>
    <w:rsid w:val="2F1D0639"/>
    <w:rsid w:val="2FC43093"/>
    <w:rsid w:val="2FE36023"/>
    <w:rsid w:val="32584AA6"/>
    <w:rsid w:val="37A61A49"/>
    <w:rsid w:val="3DD86A9B"/>
    <w:rsid w:val="3E1A5306"/>
    <w:rsid w:val="3E540573"/>
    <w:rsid w:val="3F8073EA"/>
    <w:rsid w:val="45CB251C"/>
    <w:rsid w:val="468A6DA0"/>
    <w:rsid w:val="49386EF1"/>
    <w:rsid w:val="4F764366"/>
    <w:rsid w:val="52717793"/>
    <w:rsid w:val="54D2203E"/>
    <w:rsid w:val="569B564E"/>
    <w:rsid w:val="583D1EC5"/>
    <w:rsid w:val="58BE3005"/>
    <w:rsid w:val="59943D66"/>
    <w:rsid w:val="59FE35AD"/>
    <w:rsid w:val="5A4C79F6"/>
    <w:rsid w:val="5E8E23EB"/>
    <w:rsid w:val="6005776C"/>
    <w:rsid w:val="613A3445"/>
    <w:rsid w:val="62050505"/>
    <w:rsid w:val="64C5008F"/>
    <w:rsid w:val="66182E0D"/>
    <w:rsid w:val="66240220"/>
    <w:rsid w:val="66F67E0E"/>
    <w:rsid w:val="67B35CFF"/>
    <w:rsid w:val="6A3D5F3E"/>
    <w:rsid w:val="6A65109E"/>
    <w:rsid w:val="6DAD4F9F"/>
    <w:rsid w:val="6EF2710D"/>
    <w:rsid w:val="6FF73085"/>
    <w:rsid w:val="70FA2721"/>
    <w:rsid w:val="71391041"/>
    <w:rsid w:val="717208E4"/>
    <w:rsid w:val="7188169E"/>
    <w:rsid w:val="72C74B35"/>
    <w:rsid w:val="72FF44EF"/>
    <w:rsid w:val="751332DC"/>
    <w:rsid w:val="757D07E5"/>
    <w:rsid w:val="79B0209F"/>
    <w:rsid w:val="7C9E2682"/>
    <w:rsid w:val="7DD8758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3">
    <w:name w:val="Default Paragraph Font"/>
    <w:semiHidden/>
    <w:unhideWhenUsed/>
    <w:qFormat/>
    <w:uiPriority w:val="1"/>
  </w:style>
  <w:style w:type="table" w:default="1" w:styleId="2">
    <w:name w:val="Normal Table"/>
    <w:semiHidden/>
    <w:unhideWhenUsed/>
    <w:qFormat/>
    <w:uiPriority w:val="99"/>
    <w:tblPr>
      <w:tblCellMar>
        <w:top w:w="0" w:type="dxa"/>
        <w:left w:w="108" w:type="dxa"/>
        <w:bottom w:w="0" w:type="dxa"/>
        <w:right w:w="108" w:type="dxa"/>
      </w:tblCellMar>
    </w:tblPr>
  </w:style>
  <w:style w:type="paragraph" w:styleId="4">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8</Pages>
  <Words>1396</Words>
  <Characters>1544</Characters>
  <Lines>5</Lines>
  <Paragraphs>1</Paragraphs>
  <TotalTime>1</TotalTime>
  <ScaleCrop>false</ScaleCrop>
  <LinksUpToDate>false</LinksUpToDate>
  <CharactersWithSpaces>1629</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2025-08-12T06:29:00Z</dcterms:created>
  <dc:creator>重庆物流集团渝地绿能科技有限公司</dc:creator>
  <cp:lastModifiedBy>。</cp:lastModifiedBy>
  <dcterms:modified xsi:type="dcterms:W3CDTF">2025-08-14T04:48:06Z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eyJoZGlkIjoiYjhmMmQ0NzMwODdjMzE0N2QxZjFlOGY2MWI1YmYzMDEiLCJ1c2VySWQiOiI2MTk2MzQ4MDYifQ==</vt:lpwstr>
  </property>
  <property fmtid="{D5CDD505-2E9C-101B-9397-08002B2CF9AE}" pid="3" name="KSOProductBuildVer">
    <vt:lpwstr>2052-12.1.0.21915</vt:lpwstr>
  </property>
  <property fmtid="{D5CDD505-2E9C-101B-9397-08002B2CF9AE}" pid="4" name="ICV">
    <vt:lpwstr>BAB116D6F1CC404896A8BB14552F6B2A_13</vt:lpwstr>
  </property>
</Properties>
</file>